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Sample Course</w:t>
      </w:r>
    </w:p>
    <w:p>
      <w:r>
        <w:rPr>
          <w:i/>
          <w:color w:val="808080"/>
          <w:sz w:val="16"/>
        </w:rPr>
        <w:t>Evidence mode: extracted text is source-derived; missing fields remain marked for review.</w:t>
      </w:r>
    </w:p>
    <w:p/>
    <w:tbl>
      <w:tblPr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W w:w="8640" w:type="dxa"/>
        <w:tblInd w:w="0" w:type="dxa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8640"/>
      </w:tblGrid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COURSE DESCRIPTION (keep in mind the Course Description must match the published catalog, any changes must be approved by the Program and planned in advance)</w:t>
            </w:r>
          </w:p>
        </w:tc>
      </w:tr>
      <w:tr>
        <w:tc>
          <w:tcPr>
            <w:tcW w:w="8640" w:type="dxa"/>
          </w:tcPr>
          <w:p>
            <w:pPr>
              <w:spacing w:before="0" w:after="120"/>
            </w:pPr>
            <w:r>
              <w:t>This synthetic course helps reviewers inspect how Brightspace export evidence becomes a readable blueprint.</w:t>
            </w:r>
          </w:p>
        </w:tc>
      </w:tr>
    </w:tbl>
    <w:p/>
    <w:tbl>
      <w:tblPr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W w:w="8640" w:type="dxa"/>
        <w:tblInd w:w="0" w:type="dxa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8640"/>
      </w:tblGrid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TEXTBOOK/S OR REQUIRED MATERIALS</w:t>
            </w:r>
          </w:p>
        </w:tc>
      </w:tr>
      <w:tr>
        <w:tc>
          <w:tcPr>
            <w:tcW w:w="8640" w:type="dxa"/>
          </w:tcPr>
          <w:p>
            <w:pPr>
              <w:pStyle w:val="ListBullet"/>
              <w:spacing w:before="0" w:after="40"/>
            </w:pPr>
            <w:r>
              <w:t>Open readings linked from each weekly module.</w:t>
            </w:r>
          </w:p>
          <w:p>
            <w:pPr>
              <w:pStyle w:val="ListBullet"/>
              <w:spacing w:before="0" w:after="40"/>
            </w:pPr>
            <w:r>
              <w:t>A planning worksheet supplied as a downloadable course file.</w:t>
            </w:r>
          </w:p>
        </w:tc>
      </w:tr>
    </w:tbl>
    <w:p/>
    <w:tbl>
      <w:tblPr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W w:w="8640" w:type="dxa"/>
        <w:tblInd w:w="0" w:type="dxa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8640"/>
      </w:tblGrid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COURSE LEARNING OUTCOMES</w:t>
            </w:r>
          </w:p>
        </w:tc>
      </w:tr>
      <w:tr>
        <w:tc>
          <w:tcPr>
            <w:tcW w:w="8640" w:type="dxa"/>
          </w:tcPr>
          <w:p>
            <w:pPr>
              <w:pStyle w:val="ListBullet"/>
              <w:spacing w:before="0" w:after="40"/>
            </w:pPr>
            <w:r>
              <w:t>Identify the structure of a Brightspace course export.</w:t>
            </w:r>
          </w:p>
          <w:p>
            <w:pPr>
              <w:pStyle w:val="ListBullet"/>
              <w:spacing w:before="0" w:after="40"/>
            </w:pPr>
            <w:r>
              <w:t>Trace course objects from manifest placement to review output.</w:t>
            </w:r>
          </w:p>
          <w:p>
            <w:pPr>
              <w:pStyle w:val="ListBullet"/>
              <w:spacing w:before="0" w:after="40"/>
            </w:pPr>
            <w:r>
              <w:t>Distinguish extracted evidence from missing or hidden content.</w:t>
            </w:r>
          </w:p>
        </w:tc>
      </w:tr>
    </w:tbl>
    <w:p/>
    <w:p>
      <w:pPr>
        <w:pStyle w:val="Heading1"/>
      </w:pPr>
      <w:r>
        <w:t>Course Introduction</w:t>
      </w:r>
    </w:p>
    <w:p>
      <w:pPr>
        <w:spacing w:before="0" w:after="120"/>
      </w:pPr>
      <w:r>
        <w:t>Welcome to the synthetic blueprint review course. This page demonstrates course-level introduction extraction.</w:t>
      </w:r>
    </w:p>
    <w:p>
      <w:pPr>
        <w:pStyle w:val="Heading1"/>
      </w:pPr>
      <w:r>
        <w:t>Before Week 1: Additional Resources and Information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W w:w="8640" w:type="dxa"/>
        <w:tblInd w:w="0" w:type="dxa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8640"/>
      </w:tblGrid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Getting Started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Module: Getting Started</w:t>
            </w:r>
          </w:p>
          <w:p>
            <w:pPr>
              <w:spacing w:before="160" w:after="40"/>
            </w:pPr>
            <w:r>
              <w:rPr>
                <w:b/>
              </w:rPr>
              <w:t>Page: Course Description</w:t>
            </w:r>
          </w:p>
          <w:p>
            <w:pPr>
              <w:spacing w:before="0" w:after="120"/>
            </w:pPr>
            <w:r>
              <w:t>This synthetic course helps reviewers inspect how Brightspace export evidence becomes a readable blueprint.</w:t>
            </w:r>
          </w:p>
          <w:p>
            <w:pPr>
              <w:spacing w:before="160" w:after="40"/>
            </w:pPr>
            <w:r>
              <w:rPr>
                <w:b/>
              </w:rPr>
              <w:t>Page: Course Materials</w:t>
            </w:r>
          </w:p>
          <w:p>
            <w:pPr>
              <w:pStyle w:val="Heading2"/>
              <w:spacing w:before="40" w:after="40"/>
            </w:pPr>
            <w:r>
              <w:t>Required Materials</w:t>
            </w:r>
          </w:p>
          <w:p>
            <w:pPr>
              <w:pStyle w:val="ListBullet"/>
              <w:spacing w:before="0" w:after="40"/>
            </w:pPr>
            <w:r>
              <w:t>Open readings linked from each weekly module.</w:t>
            </w:r>
          </w:p>
          <w:p>
            <w:pPr>
              <w:pStyle w:val="ListBullet"/>
              <w:spacing w:before="0" w:after="40"/>
            </w:pPr>
            <w:r>
              <w:t>A planning worksheet supplied as a downloadable course file.</w:t>
            </w:r>
          </w:p>
          <w:p>
            <w:pPr>
              <w:spacing w:before="160" w:after="40"/>
            </w:pPr>
            <w:r>
              <w:rPr>
                <w:b/>
              </w:rPr>
              <w:t>Page: Course Learning Outcomes</w:t>
            </w:r>
          </w:p>
          <w:p>
            <w:pPr>
              <w:pStyle w:val="ListBullet"/>
              <w:spacing w:before="0" w:after="40"/>
            </w:pPr>
            <w:r>
              <w:t>Identify the structure of a Brightspace course export.</w:t>
            </w:r>
          </w:p>
          <w:p>
            <w:pPr>
              <w:pStyle w:val="ListBullet"/>
              <w:spacing w:before="0" w:after="40"/>
            </w:pPr>
            <w:r>
              <w:t>Trace course objects from manifest placement to review output.</w:t>
            </w:r>
          </w:p>
          <w:p>
            <w:pPr>
              <w:pStyle w:val="ListBullet"/>
              <w:spacing w:before="0" w:after="40"/>
            </w:pPr>
            <w:r>
              <w:t>Distinguish extracted evidence from missing or hidden content.</w:t>
            </w:r>
          </w:p>
          <w:p>
            <w:pPr>
              <w:spacing w:before="160" w:after="40"/>
            </w:pPr>
            <w:r>
              <w:rPr>
                <w:b/>
              </w:rPr>
              <w:t>Page: Project Roadmap and Setup</w:t>
            </w:r>
          </w:p>
          <w:p>
            <w:pPr>
              <w:spacing w:before="0" w:after="120"/>
            </w:pPr>
            <w:r>
              <w:t>This pre-week page should render before Week 1 instead of being forced into a weekly module.</w:t>
            </w:r>
          </w:p>
          <w:p>
            <w:pPr>
              <w:pStyle w:val="Heading2"/>
              <w:spacing w:before="160" w:after="40"/>
            </w:pPr>
            <w:r>
              <w:t>Milestones</w:t>
            </w:r>
          </w:p>
          <w:p>
            <w:pPr>
              <w:pStyle w:val="ListNumber"/>
              <w:numPr>
                <w:ilvl w:val="0"/>
                <w:numId w:val="10"/>
              </w:numPr>
              <w:spacing w:before="0" w:after="40"/>
            </w:pPr>
            <w:r>
              <w:t>Review the course overview.</w:t>
            </w:r>
          </w:p>
          <w:p>
            <w:pPr>
              <w:pStyle w:val="ListNumber"/>
              <w:numPr>
                <w:ilvl w:val="0"/>
                <w:numId w:val="10"/>
              </w:numPr>
              <w:spacing w:before="0" w:after="40"/>
            </w:pPr>
            <w:r>
              <w:t>Confirm the activity joins.</w:t>
            </w:r>
          </w:p>
          <w:p>
            <w:pPr>
              <w:pStyle w:val="ListNumber"/>
              <w:numPr>
                <w:ilvl w:val="0"/>
                <w:numId w:val="10"/>
              </w:numPr>
              <w:spacing w:before="0" w:after="40"/>
            </w:pPr>
            <w:r>
              <w:t>Flag missing fields for human review.</w:t>
            </w:r>
          </w:p>
          <w:p>
            <w:pPr>
              <w:pStyle w:val="Heading2"/>
              <w:spacing w:before="160" w:after="40"/>
            </w:pPr>
            <w:r>
              <w:t>Tooling Notes</w:t>
            </w:r>
          </w:p>
          <w:p>
            <w:pPr>
              <w:spacing w:before="0" w:after="120"/>
            </w:pPr>
            <w:r>
              <w:t>The bundle also emits inventory, manifest probe, course structure, activity workbook, QA, JSON, Markdown, and DOCX outputs.</w:t>
            </w:r>
          </w:p>
        </w:tc>
      </w:tr>
    </w:tbl>
    <w:p/>
    <w:p>
      <w:r>
        <w:rPr>
          <w:b/>
        </w:rPr>
        <w:t>Course Content:</w:t>
      </w:r>
    </w:p>
    <w:p/>
    <w:p>
      <w:pPr>
        <w:pStyle w:val="Heading1"/>
      </w:pPr>
      <w:r>
        <w:t>Week 1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W w:w="8640" w:type="dxa"/>
        <w:tblInd w:w="0" w:type="dxa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8640"/>
      </w:tblGrid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Overview: (add an introduction to the week's topic and activities here, with references as needed)</w:t>
            </w:r>
          </w:p>
        </w:tc>
      </w:tr>
      <w:tr>
        <w:tc>
          <w:tcPr>
            <w:tcW w:w="8640" w:type="dxa"/>
          </w:tcPr>
          <w:p>
            <w:pPr>
              <w:pStyle w:val="Heading2"/>
              <w:spacing w:before="160" w:after="40"/>
            </w:pPr>
            <w:r>
              <w:t>Week 1 Overview</w:t>
            </w:r>
          </w:p>
          <w:p>
            <w:pPr>
              <w:spacing w:before="0" w:after="120"/>
            </w:pPr>
            <w:r>
              <w:t>This week introduces source tracing and module placement.</w:t>
            </w:r>
          </w:p>
          <w:p>
            <w:pPr>
              <w:pStyle w:val="Heading2"/>
              <w:spacing w:before="160" w:after="40"/>
            </w:pPr>
            <w:r>
              <w:t>Required Resources</w:t>
            </w:r>
          </w:p>
          <w:p>
            <w:pPr>
              <w:spacing w:before="0" w:after="120"/>
            </w:pPr>
            <w:r>
              <w:t>This resource-like heading intentionally remains in Overview because Week 1 also has a separate Learning Materials page.</w:t>
            </w:r>
          </w:p>
          <w:p>
            <w:pPr>
              <w:spacing w:before="120" w:after="40"/>
              <w:shd w:val="clear" w:color="auto" w:fill="F2F6FA"/>
            </w:pPr>
            <w:r>
              <w:rPr>
                <w:b/>
                <w:color w:val="4D4D4D"/>
                <w:sz w:val="18"/>
              </w:rPr>
              <w:t>[callout]</w:t>
            </w:r>
          </w:p>
          <w:p>
            <w:pPr>
              <w:spacing w:before="0" w:after="120"/>
              <w:shd w:val="clear" w:color="auto" w:fill="F2F6FA"/>
            </w:pPr>
            <w:r>
              <w:t>Visual callout cue: reviewers should see this as a callout marker, not exact Brightspace styling.</w:t>
            </w:r>
          </w:p>
          <w:p>
            <w:pPr>
              <w:spacing w:before="40" w:after="120"/>
              <w:shd w:val="clear" w:color="auto" w:fill="F2F6FA"/>
            </w:pPr>
            <w:r>
              <w:rPr>
                <w:b/>
                <w:color w:val="4D4D4D"/>
                <w:sz w:val="18"/>
              </w:rPr>
              <w:t>[/callout]</w:t>
            </w:r>
          </w:p>
          <w:p>
            <w:pPr>
              <w:spacing w:before="120" w:after="40"/>
              <w:shd w:val="clear" w:color="auto" w:fill="F4F2FA"/>
            </w:pPr>
            <w:r>
              <w:rPr>
                <w:b/>
                <w:color w:val="4D4D4D"/>
                <w:sz w:val="18"/>
              </w:rPr>
              <w:t>[dropdown: Expandable instructor note]</w:t>
            </w:r>
          </w:p>
          <w:p>
            <w:pPr>
              <w:spacing w:before="0" w:after="120"/>
              <w:shd w:val="clear" w:color="auto" w:fill="F4F2FA"/>
            </w:pPr>
            <w:r>
              <w:t>Dropdown content is preserved as a review cue.</w:t>
            </w:r>
          </w:p>
          <w:p>
            <w:pPr>
              <w:spacing w:before="40" w:after="120"/>
              <w:shd w:val="clear" w:color="auto" w:fill="F4F2FA"/>
            </w:pPr>
            <w:r>
              <w:rPr>
                <w:b/>
                <w:color w:val="4D4D4D"/>
                <w:sz w:val="18"/>
              </w:rPr>
              <w:t>[/dropdown]</w:t>
            </w:r>
          </w:p>
          <w:p>
            <w:pPr>
              <w:spacing w:before="120" w:after="80"/>
              <w:shd w:val="clear" w:color="auto" w:fill="F7F9FB"/>
            </w:pPr>
            <w:r>
              <w:rPr>
                <w:b/>
                <w:color w:val="4D4D4D"/>
                <w:sz w:val="18"/>
              </w:rPr>
              <w:t xml:space="preserve">Embedded image: </w:t>
            </w:r>
            <w:r>
              <w:t>Planning cycle diagram</w:t>
            </w:r>
            <w:r>
              <w:rPr>
                <w:color w:val="808080"/>
                <w:sz w:val="16"/>
              </w:rPr>
              <w:t xml:space="preserve"> (../assets/planning-cycle.png)</w:t>
            </w:r>
          </w:p>
          <w:p>
            <w:pPr>
              <w:spacing w:before="120" w:after="80"/>
              <w:shd w:val="clear" w:color="auto" w:fill="F7F9FB"/>
            </w:pPr>
            <w:r>
              <w:rPr>
                <w:b/>
                <w:color w:val="4D4D4D"/>
                <w:sz w:val="18"/>
              </w:rPr>
              <w:t xml:space="preserve">Embedded image: </w:t>
            </w:r>
            <w:r>
              <w:t>No alt text</w:t>
            </w:r>
            <w:r>
              <w:rPr>
                <w:color w:val="808080"/>
                <w:sz w:val="16"/>
              </w:rPr>
              <w:t xml:space="preserve"> (../assets/equation-screenshot.png)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0" w:after="120"/>
            </w:pPr>
            <w:r>
              <w:t>After the divider, the page continues with authored prose.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Learning Objectives: Must follow the guidelines in this Learning Objectives Guide.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Students will be able to:</w:t>
            </w:r>
          </w:p>
        </w:tc>
      </w:tr>
      <w:tr>
        <w:tc>
          <w:tcPr>
            <w:tcW w:w="8640" w:type="dxa"/>
          </w:tcPr>
          <w:p>
            <w:pPr>
              <w:pStyle w:val="ListBullet"/>
              <w:spacing w:before="0" w:after="40"/>
            </w:pPr>
            <w:r>
              <w:t>Explain how manifest items become weekly blueprint rows.</w:t>
            </w:r>
          </w:p>
          <w:p>
            <w:pPr>
              <w:pStyle w:val="ListBullet"/>
              <w:spacing w:before="0" w:after="40"/>
            </w:pPr>
            <w:r>
              <w:t>Recognize hidden and unplaced D2L objects in diagnostics.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Assigned Reading and Multimedia: (add links, articles, textbook readings, videos). Include style-correct citations.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Week 1 Learning Materials and Resources:</w:t>
            </w:r>
          </w:p>
          <w:p>
            <w:pPr>
              <w:spacing w:before="0" w:after="120"/>
            </w:pPr>
            <w:r>
              <w:t>This intro belongs with resources because the whole page is a materials page.</w:t>
            </w:r>
          </w:p>
          <w:p>
            <w:pPr>
              <w:spacing w:before="160" w:after="40"/>
            </w:pPr>
            <w:r>
              <w:rPr>
                <w:b/>
              </w:rPr>
              <w:t>Required Readings:</w:t>
            </w:r>
          </w:p>
          <w:p>
            <w:pPr>
              <w:pStyle w:val="ListBullet"/>
              <w:spacing w:before="0" w:after="40"/>
            </w:pPr>
            <w:hyperlink r:id="rId9">
              <w:r>
                <w:rPr>
                  <w:color w:val="0563C1"/>
                  <w:u w:val="single"/>
                </w:rPr>
                <w:t xml:space="preserve">Export anatomy overview</w:t>
              </w:r>
            </w:hyperlink>
          </w:p>
          <w:p>
            <w:pPr>
              <w:pStyle w:val="ListBullet"/>
              <w:spacing w:before="0" w:after="40"/>
            </w:pPr>
            <w:r>
              <w:t>Read the case packet attached in the module.</w:t>
            </w:r>
          </w:p>
          <w:p>
            <w:pPr>
              <w:spacing w:before="160" w:after="40"/>
            </w:pPr>
            <w:r>
              <w:rPr>
                <w:b/>
              </w:rPr>
              <w:t>Multimedia:</w:t>
            </w:r>
          </w:p>
          <w:p>
            <w:pPr>
              <w:spacing w:before="120" w:after="80"/>
              <w:shd w:val="clear" w:color="auto" w:fill="F7F9FB"/>
            </w:pPr>
            <w:r>
              <w:rPr>
                <w:b/>
                <w:color w:val="4D4D4D"/>
                <w:sz w:val="18"/>
              </w:rPr>
              <w:t xml:space="preserve">Video embed: </w:t>
            </w:r>
            <w:hyperlink r:id="rId10">
              <w:r>
                <w:rPr>
                  <w:color w:val="0563C1"/>
                  <w:u w:val="single"/>
                </w:rPr>
                <w:t xml:space="preserve">Orientation video</w:t>
              </w:r>
            </w:hyperlink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Assignment(s) and Instructions: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Planning Memo:</w:t>
            </w:r>
          </w:p>
          <w:p>
            <w:pPr>
              <w:spacing w:before="40" w:after="40"/>
            </w:pPr>
            <w:r>
              <w:rPr>
                <w:b/>
              </w:rPr>
              <w:t>Points: 20 pts</w:t>
            </w:r>
          </w:p>
          <w:p>
            <w:pPr>
              <w:spacing w:before="40" w:after="40"/>
            </w:pPr>
            <w:r>
              <w:rPr>
                <w:b/>
              </w:rPr>
              <w:t>Rubric: RUB-1: Planning Memo Rubric</w:t>
            </w:r>
          </w:p>
          <w:p>
            <w:pPr>
              <w:spacing w:before="0" w:after="120"/>
            </w:pPr>
            <w:r>
              <w:t>Draft a short planning memo that names the evidence files you inspected.</w:t>
            </w:r>
          </w:p>
          <w:p>
            <w:pPr>
              <w:pStyle w:val="ListBullet"/>
              <w:spacing w:before="0" w:after="40"/>
            </w:pPr>
            <w:r>
              <w:t>Use one paragraph for the manifest evidence.</w:t>
            </w:r>
          </w:p>
          <w:p>
            <w:pPr>
              <w:pStyle w:val="ListBullet"/>
              <w:spacing w:before="0" w:after="40"/>
            </w:pPr>
            <w:r>
              <w:t>Use one paragraph for the activity join evidence.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Data Snapshot Worksheet:</w:t>
            </w:r>
          </w:p>
          <w:p>
            <w:pPr>
              <w:spacing w:before="40" w:after="40"/>
            </w:pPr>
            <w:r>
              <w:rPr>
                <w:b/>
              </w:rPr>
              <w:t>Points: 10 pts</w:t>
            </w:r>
          </w:p>
          <w:p>
            <w:pPr>
              <w:spacing w:before="0" w:after="120"/>
            </w:pPr>
            <w:r>
              <w:t>Complete the worksheet using the course activities workbook generated by the bundle.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Quiz: Readiness Quiz:</w:t>
            </w:r>
          </w:p>
          <w:p>
            <w:pPr>
              <w:spacing w:before="40" w:after="40"/>
            </w:pPr>
            <w:r>
              <w:rPr>
                <w:b/>
              </w:rPr>
              <w:t>Points: 3 pts</w:t>
            </w:r>
          </w:p>
          <w:p>
            <w:pPr>
              <w:spacing w:before="40" w:after="40"/>
            </w:pPr>
            <w:r>
              <w:rPr>
                <w:b/>
              </w:rPr>
              <w:t>Gradebook item: Readiness Quiz</w:t>
            </w:r>
          </w:p>
          <w:p>
            <w:pPr>
              <w:spacing w:before="40" w:after="40"/>
            </w:pPr>
            <w:r>
              <w:rPr>
                <w:b/>
              </w:rPr>
              <w:t>Attempts allowed: 1</w:t>
            </w:r>
          </w:p>
          <w:p>
            <w:pPr>
              <w:spacing w:before="40" w:after="40"/>
            </w:pPr>
            <w:r>
              <w:rPr>
                <w:b/>
              </w:rPr>
              <w:t>Time limit: 20 minutes</w:t>
            </w:r>
          </w:p>
          <w:p>
            <w:pPr>
              <w:spacing w:before="40" w:after="40"/>
            </w:pPr>
            <w:r>
              <w:rPr>
                <w:b/>
              </w:rPr>
              <w:t>Time limit enforced: yes</w:t>
            </w:r>
          </w:p>
          <w:p>
            <w:pPr>
              <w:spacing w:before="40" w:after="40"/>
            </w:pPr>
            <w:r>
              <w:rPr>
                <w:b/>
              </w:rPr>
              <w:t>Sections: 1</w:t>
            </w:r>
          </w:p>
          <w:p>
            <w:pPr>
              <w:spacing w:before="0" w:after="120"/>
            </w:pPr>
            <w:r>
              <w:t>Complete this short readiness check after reviewing the Week 1 materials.</w:t>
            </w:r>
          </w:p>
          <w:p>
            <w:pPr>
              <w:pStyle w:val="ListBullet"/>
              <w:spacing w:before="0" w:after="40"/>
            </w:pPr>
            <w:r>
              <w:t>One attempt is allowed.</w:t>
            </w:r>
          </w:p>
          <w:p>
            <w:pPr>
              <w:pStyle w:val="ListBullet"/>
              <w:spacing w:before="0" w:after="40"/>
            </w:pPr>
            <w:r>
              <w:t>Questions are drawn from a small pool.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Discussion Board Prompts: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Planning Assumptions:</w:t>
            </w:r>
          </w:p>
          <w:p>
            <w:pPr>
              <w:spacing w:before="40" w:after="40"/>
            </w:pPr>
            <w:r>
              <w:rPr>
                <w:b/>
              </w:rPr>
              <w:t>Points: 5 pts</w:t>
            </w:r>
          </w:p>
          <w:p>
            <w:pPr>
              <w:spacing w:before="0" w:after="120"/>
            </w:pPr>
            <w:r>
              <w:t>Post one assumption you bring into source-traceable course review.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Peer Reply:</w:t>
            </w:r>
          </w:p>
          <w:p>
            <w:pPr>
              <w:spacing w:before="40" w:after="40"/>
            </w:pPr>
            <w:r>
              <w:rPr>
                <w:b/>
              </w:rPr>
              <w:t>Points: 5 pts</w:t>
            </w:r>
          </w:p>
          <w:p>
            <w:pPr>
              <w:spacing w:before="0" w:after="120"/>
            </w:pPr>
            <w:r>
              <w:t>Reply to a peer and identify one item that should remain marked for review.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Checklist (mirrored from the export)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Week 1 Checklist:</w:t>
            </w:r>
          </w:p>
          <w:p>
            <w:pPr>
              <w:spacing w:before="40" w:after="40"/>
            </w:pPr>
            <w:r>
              <w:rPr>
                <w:b/>
              </w:rPr>
              <w:t>Review outputs:</w:t>
            </w:r>
          </w:p>
          <w:p>
            <w:pPr>
              <w:pStyle w:val="ListBullet"/>
              <w:spacing w:before="0" w:after="40"/>
            </w:pPr>
            <w:r>
              <w:t>Open the Markdown blueprint</w:t>
            </w:r>
          </w:p>
          <w:p>
            <w:pPr>
              <w:pStyle w:val="ListBullet"/>
              <w:spacing w:before="0" w:after="40"/>
            </w:pPr>
            <w:r>
              <w:t>Inspect the DOCX rendering</w:t>
            </w:r>
          </w:p>
          <w:p>
            <w:pPr>
              <w:spacing w:before="160" w:after="40"/>
            </w:pPr>
            <w:r>
              <w:rPr>
                <w:b/>
              </w:rPr>
              <w:t>Trace evidence:</w:t>
            </w:r>
          </w:p>
          <w:p>
            <w:pPr>
              <w:pStyle w:val="ListBullet"/>
              <w:spacing w:before="0" w:after="40"/>
            </w:pPr>
            <w:r>
              <w:t>Compare the manifest probe with the weekly rows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Other course sections (mirrored from the export)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Creator+ Practice:</w:t>
            </w:r>
          </w:p>
          <w:p>
            <w:pPr>
              <w:spacing w:before="120" w:after="100"/>
              <w:shd w:val="clear" w:color="auto" w:fill="EEF7F2"/>
            </w:pPr>
            <w:r>
              <w:rPr>
                <w:b/>
                <w:sz w:val="18"/>
              </w:rPr>
              <w:t>Creator+ practice: Sort Course Evidence</w:t>
            </w:r>
            <w:r>
              <w:rPr>
                <w:color w:val="707070"/>
                <w:sz w:val="16"/>
              </w:rPr>
              <w:t xml:space="preserve"> (https://practices.lcs.brightspace.com/player)</w:t>
            </w:r>
            <w:r>
              <w:br/>
            </w:r>
            <w:r>
              <w:rPr>
                <w:color w:val="4D4D4D"/>
                <w:sz w:val="16"/>
              </w:rPr>
              <w:t>Practice type: Sorting; Source file: practice/week1-sort.practice.json; Practice id: sample-sort-1; Items: 3; Categories/slots: 3; Scoring: 3 pts</w:t>
            </w:r>
          </w:p>
          <w:p>
            <w:pPr>
              <w:spacing w:before="160" w:after="40"/>
            </w:pPr>
            <w:r>
              <w:rPr>
                <w:b/>
              </w:rPr>
              <w:t>Description</w:t>
            </w:r>
          </w:p>
          <w:p>
            <w:pPr>
              <w:spacing w:before="0" w:after="120"/>
            </w:pPr>
            <w:r>
              <w:t>Sort each artifact into the evidence layer it comes from.</w:t>
            </w:r>
          </w:p>
          <w:p>
            <w:pPr>
              <w:spacing w:before="160" w:after="40"/>
            </w:pPr>
            <w:r>
              <w:rPr>
                <w:b/>
              </w:rPr>
              <w:t>Instructions</w:t>
            </w:r>
          </w:p>
          <w:p>
            <w:pPr>
              <w:spacing w:before="0" w:after="120"/>
            </w:pPr>
            <w:r>
              <w:t>Drag each item into manifest, page, or activity evidence.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Case Packet PDF:</w:t>
            </w:r>
          </w:p>
          <w:p>
            <w:pPr>
              <w:spacing w:before="120" w:after="80"/>
              <w:shd w:val="clear" w:color="auto" w:fill="F7F9FB"/>
            </w:pPr>
            <w:r>
              <w:rPr>
                <w:b/>
                <w:color w:val="4D4D4D"/>
                <w:sz w:val="18"/>
              </w:rPr>
              <w:t xml:space="preserve">Attached course file: </w:t>
            </w:r>
            <w:r>
              <w:t>week1-case-packet.pdf</w:t>
            </w:r>
            <w:r>
              <w:rPr>
                <w:color w:val="808080"/>
                <w:sz w:val="16"/>
              </w:rPr>
              <w:t xml:space="preserve"> (files/week1-case-packet.pdf)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Scenario Lab:</w:t>
            </w:r>
          </w:p>
          <w:p>
            <w:pPr>
              <w:spacing w:before="120" w:after="40"/>
              <w:shd w:val="clear" w:color="auto" w:fill="F2F6FA"/>
            </w:pPr>
            <w:r>
              <w:rPr>
                <w:b/>
                <w:color w:val="4D4D4D"/>
                <w:sz w:val="18"/>
              </w:rPr>
              <w:t>[box]</w:t>
            </w:r>
          </w:p>
          <w:p>
            <w:pPr>
              <w:spacing w:before="0" w:after="120"/>
              <w:shd w:val="clear" w:color="auto" w:fill="F2F6FA"/>
            </w:pPr>
            <w:r>
              <w:t>A sample stakeholder asks whether a course export preserves its weekly organization.</w:t>
            </w:r>
          </w:p>
          <w:p>
            <w:pPr>
              <w:spacing w:before="40" w:after="120"/>
              <w:shd w:val="clear" w:color="auto" w:fill="F2F6FA"/>
            </w:pPr>
            <w:r>
              <w:rPr>
                <w:b/>
                <w:color w:val="4D4D4D"/>
                <w:sz w:val="18"/>
              </w:rPr>
              <w:t>[/box]</w:t>
            </w:r>
          </w:p>
          <w:p>
            <w:pPr>
              <w:spacing w:before="160" w:after="40"/>
            </w:pPr>
            <w:r>
              <w:rPr>
                <w:b/>
              </w:rPr>
              <w:t>Scenario Lab › Debrief Questions:</w:t>
            </w:r>
          </w:p>
          <w:p>
            <w:pPr>
              <w:pStyle w:val="ListBullet"/>
              <w:spacing w:before="0" w:after="40"/>
            </w:pPr>
            <w:r>
              <w:t>Which evidence file answers the placement question?</w:t>
            </w:r>
          </w:p>
          <w:p>
            <w:pPr>
              <w:pStyle w:val="ListBullet"/>
              <w:spacing w:before="0" w:after="40"/>
            </w:pPr>
            <w:r>
              <w:t>Which fields should remain marked Needs review?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Draft Quiz - Hidden:</w:t>
            </w:r>
          </w:p>
          <w:p>
            <w:pPr>
              <w:spacing w:before="120" w:after="80"/>
              <w:shd w:val="clear" w:color="auto" w:fill="FFF4E5"/>
            </w:pPr>
            <w:r>
              <w:rPr>
                <w:b/>
                <w:color w:val="4D4D4D"/>
                <w:sz w:val="18"/>
              </w:rPr>
              <w:t xml:space="preserve">Hidden manifest item: </w:t>
            </w:r>
            <w:r>
              <w:t>Object: Draft Quiz - Hidden; type: quiz link; hidden/faculty-facing in the Brightspace manifest. The manifest link is hidden/faculty-facing; any manifest description is included below.</w:t>
            </w:r>
            <w:r>
              <w:rPr>
                <w:color w:val="808080"/>
                <w:sz w:val="16"/>
              </w:rPr>
              <w:t xml:space="preserve"> (/d2l/common/dialogs/quickLink/quickLink.d2l?type=quiz&amp;rCode=CODE-QH)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Instructor Notes Draft:</w:t>
            </w:r>
          </w:p>
          <w:p>
            <w:pPr>
              <w:spacing w:before="120" w:after="80"/>
              <w:shd w:val="clear" w:color="auto" w:fill="FFF4E5"/>
            </w:pPr>
            <w:r>
              <w:rPr>
                <w:b/>
                <w:color w:val="4D4D4D"/>
                <w:sz w:val="18"/>
              </w:rPr>
              <w:t xml:space="preserve">Hidden manifest item: </w:t>
            </w:r>
            <w:r>
              <w:t>Object: Instructor Notes Draft; type: DOCX course file; hidden/faculty-facing in the Brightspace manifest. The linked course file is hidden/faculty-facing and was preserved as a file reference.</w:t>
            </w:r>
            <w:r>
              <w:rPr>
                <w:color w:val="808080"/>
                <w:sz w:val="16"/>
              </w:rPr>
              <w:t xml:space="preserve"> (files/hidden-instructor-notes.docx)</w:t>
            </w:r>
          </w:p>
        </w:tc>
      </w:tr>
    </w:tbl>
    <w:p/>
    <w:p>
      <w:pPr>
        <w:pStyle w:val="Heading1"/>
      </w:pPr>
      <w:r>
        <w:t>Week 2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W w:w="8640" w:type="dxa"/>
        <w:tblInd w:w="0" w:type="dxa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8640"/>
      </w:tblGrid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Overview: (add an introduction to the week's topic and activities here, with references as needed)</w:t>
            </w:r>
          </w:p>
        </w:tc>
      </w:tr>
      <w:tr>
        <w:tc>
          <w:tcPr>
            <w:tcW w:w="8640" w:type="dxa"/>
          </w:tcPr>
          <w:p>
            <w:pPr>
              <w:pStyle w:val="Heading2"/>
              <w:spacing w:before="160" w:after="40"/>
            </w:pPr>
            <w:r>
              <w:t>Week 2 Overview</w:t>
            </w:r>
          </w:p>
          <w:p>
            <w:pPr>
              <w:spacing w:before="0" w:after="120"/>
            </w:pPr>
            <w:r>
              <w:t>This combined page demonstrates overview and materials splitting within one page.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Learning Objectives: Must follow the guidelines in this Learning Objectives Guide.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Students will be able to:</w:t>
            </w:r>
          </w:p>
        </w:tc>
      </w:tr>
      <w:tr>
        <w:tc>
          <w:tcPr>
            <w:tcW w:w="8640" w:type="dxa"/>
          </w:tcPr>
          <w:p>
            <w:r>
              <w:rPr>
                <w:i/>
                <w:color w:val="808080"/>
              </w:rPr>
              <w:t>Needs review: not found in export extraction.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Assigned Reading and Multimedia: (add links, articles, textbook readings, videos). Include style-correct citations.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Required Resources:</w:t>
            </w:r>
          </w:p>
          <w:p>
            <w:pPr>
              <w:spacing w:before="0" w:after="120"/>
            </w:pPr>
            <w:r>
              <w:t>Because there is no separate Week 2 materials page, this heading moves to Assigned Reading and Multimedia.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Assignment(s) and Instructions: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Reflection Journal:</w:t>
            </w:r>
          </w:p>
          <w:p>
            <w:pPr>
              <w:spacing w:before="40" w:after="40"/>
            </w:pPr>
            <w:r>
              <w:rPr>
                <w:b/>
              </w:rPr>
              <w:t>Points: 5 pts</w:t>
            </w:r>
          </w:p>
          <w:p>
            <w:pPr>
              <w:spacing w:before="0" w:after="120"/>
            </w:pPr>
            <w:r>
              <w:t>Write a short reflection after reviewing Week 2 materials.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Discussion Board Prompts:</w:t>
            </w:r>
          </w:p>
        </w:tc>
      </w:tr>
      <w:tr>
        <w:tc>
          <w:tcPr>
            <w:tcW w:w="8640" w:type="dxa"/>
          </w:tcPr>
          <w:p>
            <w:r>
              <w:rPr>
                <w:i/>
                <w:color w:val="808080"/>
              </w:rPr>
              <w:t>None found in export extraction.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Checklist (mirrored from the export)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Checklist:</w:t>
            </w:r>
          </w:p>
          <w:p>
            <w:pPr>
              <w:pStyle w:val="ListBullet"/>
              <w:spacing w:before="0" w:after="40"/>
            </w:pPr>
            <w:r>
              <w:t>Confirm the sample output still validates.</w:t>
            </w:r>
          </w:p>
          <w:p>
            <w:pPr>
              <w:pStyle w:val="ListBullet"/>
              <w:spacing w:before="0" w:after="40"/>
            </w:pPr>
            <w:r>
              <w:t>Review the extraction notes at the bottom.</w:t>
            </w:r>
          </w:p>
        </w:tc>
      </w:tr>
      <w:tr>
        <w:tc>
          <w:tcPr>
            <w:tcW w:w="8640" w:type="dxa"/>
            <w:shd w:val="clear" w:color="auto" w:fill="F2F2F2"/>
          </w:tcPr>
          <w:p>
            <w:pPr>
              <w:spacing w:before="0" w:after="40"/>
            </w:pPr>
            <w:r>
              <w:rPr>
                <w:b/>
                <w:sz w:val="18"/>
              </w:rPr>
              <w:t>Other course sections (mirrored from the export)</w:t>
            </w:r>
          </w:p>
        </w:tc>
      </w:tr>
      <w:tr>
        <w:tc>
          <w:tcPr>
            <w:tcW w:w="8640" w:type="dxa"/>
          </w:tcPr>
          <w:p>
            <w:pPr>
              <w:spacing w:before="0" w:after="40"/>
            </w:pPr>
            <w:r>
              <w:rPr>
                <w:b/>
              </w:rPr>
              <w:t>Practice Activity:</w:t>
            </w:r>
          </w:p>
          <w:p>
            <w:pPr>
              <w:spacing w:before="0" w:after="120"/>
            </w:pPr>
            <w:r>
              <w:t>This page demonstrates an Other course section with authored practice instructions.</w:t>
            </w:r>
          </w:p>
          <w:p>
            <w:pPr>
              <w:spacing w:before="160" w:after="40"/>
            </w:pPr>
            <w:r>
              <w:rPr>
                <w:b/>
              </w:rPr>
              <w:t>Reflection Prompt:</w:t>
            </w:r>
          </w:p>
          <w:p>
            <w:pPr>
              <w:spacing w:before="0" w:after="120"/>
            </w:pPr>
            <w:r>
              <w:t>Write one sentence about where the source evidence appears in the output.</w:t>
            </w:r>
          </w:p>
          <w:p>
            <w:pPr>
              <w:spacing w:before="120" w:after="120"/>
              <w:pBdr>
                <w:bottom w:val="single" w:sz="6" w:space="1" w:color="D9D9D9"/>
              </w:pBdr>
            </w:pPr>
          </w:p>
          <w:p>
            <w:pPr>
              <w:spacing w:before="40" w:after="40"/>
            </w:pPr>
            <w:r>
              <w:rPr>
                <w:b/>
              </w:rPr>
              <w:t>Hidden Faculty Setup Page › Hidden Setup:</w:t>
            </w:r>
          </w:p>
          <w:p>
            <w:pPr>
              <w:spacing w:before="120" w:after="80"/>
              <w:shd w:val="clear" w:color="auto" w:fill="FFF4E5"/>
            </w:pPr>
            <w:r>
              <w:rPr>
                <w:b/>
                <w:color w:val="4D4D4D"/>
                <w:sz w:val="18"/>
              </w:rPr>
              <w:t xml:space="preserve">Hidden manifest item: </w:t>
            </w:r>
            <w:r>
              <w:t>Object: Hidden Faculty Setup Page; type: HTML content page; hidden/faculty-facing in the Brightspace manifest. Body text was extracted below for review; keep in mind this item is hidden/faculty-facing.</w:t>
            </w:r>
            <w:r>
              <w:rPr>
                <w:color w:val="808080"/>
                <w:sz w:val="16"/>
              </w:rPr>
              <w:t xml:space="preserve"> (pages/hidden-faculty-setup.html)</w:t>
            </w:r>
          </w:p>
          <w:p>
            <w:pPr>
              <w:spacing w:before="0" w:after="120"/>
            </w:pPr>
            <w:r>
              <w:t>This body should not be unpacked because the manifest item is hidden.</w:t>
            </w:r>
          </w:p>
        </w:tc>
      </w:tr>
    </w:tbl>
    <w:p/>
    <w:p>
      <w:pPr>
        <w:pStyle w:val="Heading1"/>
      </w:pPr>
      <w:r>
        <w:t>Unplaced Activities</w:t>
      </w:r>
    </w:p>
    <w:p>
      <w:r>
        <w:t>These activities were extracted from D2L object XML but were not connected to a module quicklink by resource code.</w:t>
      </w:r>
    </w:p>
    <w:p>
      <w:pPr>
        <w:pStyle w:val="Heading2"/>
      </w:pPr>
      <w:r>
        <w:t>Assignments</w:t>
      </w:r>
    </w:p>
    <w:p>
      <w:pPr>
        <w:spacing w:before="0" w:after="40"/>
      </w:pPr>
      <w:r>
        <w:rPr>
          <w:b/>
        </w:rPr>
        <w:t>Unplaced Capstone Draft:</w:t>
      </w:r>
    </w:p>
    <w:p>
      <w:pPr>
        <w:spacing w:before="40" w:after="40"/>
      </w:pPr>
      <w:r>
        <w:rPr>
          <w:b/>
        </w:rPr>
        <w:t>Points: 15 pts</w:t>
      </w:r>
    </w:p>
    <w:p>
      <w:pPr>
        <w:spacing w:before="0" w:after="120"/>
      </w:pPr>
      <w:r>
        <w:t>This assignment is not linked in the manifest and should appear as unplaced.</w:t>
      </w:r>
    </w:p>
    <w:p>
      <w:pPr>
        <w:pStyle w:val="Heading2"/>
      </w:pPr>
      <w:r>
        <w:t>Discussions</w:t>
      </w:r>
    </w:p>
    <w:p>
      <w:pPr>
        <w:spacing w:before="0" w:after="40"/>
      </w:pPr>
      <w:r>
        <w:rPr>
          <w:b/>
        </w:rPr>
        <w:t>Unplaced Help Forum:</w:t>
      </w:r>
    </w:p>
    <w:p>
      <w:pPr>
        <w:spacing w:before="0" w:after="120"/>
      </w:pPr>
      <w:r>
        <w:t>This discussion topic is not linked in the manifest and should be reported as unplaced.</w:t>
      </w:r>
    </w:p>
    <w:p>
      <w:r>
        <w:br w:type="page"/>
      </w:r>
    </w:p>
    <w:p>
      <w:pPr>
        <w:pStyle w:val="Heading1"/>
      </w:pPr>
      <w:r>
        <w:t>Rubric Appendix</w:t>
      </w:r>
    </w:p>
    <w:p>
      <w:r>
        <w:rPr>
          <w:color w:val="666666"/>
          <w:sz w:val="16"/>
        </w:rPr>
        <w:t>Rubric grids are source-derived from rubrics_d2l.xml. Activity usage is listed when the export exposes a rubric association.</w:t>
      </w:r>
    </w:p>
    <w:p>
      <w:pPr>
        <w:pStyle w:val="Heading2"/>
      </w:pPr>
      <w:r>
        <w:t>Planning Memo Rubric</w:t>
      </w:r>
    </w:p>
    <w:p>
      <w:r>
        <w:rPr>
          <w:color w:val="666666"/>
          <w:sz w:val="16"/>
        </w:rPr>
        <w:t>Rubric ID: RUB-1 | Resource code: RUBRIC-PLANNING-MEMO | Scoring method: 3</w:t>
      </w:r>
    </w:p>
    <w:p>
      <w:r>
        <w:rPr>
          <w:b/>
        </w:rPr>
        <w:t xml:space="preserve">Used by: </w:t>
      </w:r>
      <w:r>
        <w:t>Assignment: Planning Memo</w:t>
      </w:r>
    </w:p>
    <w:p>
      <w:r>
        <w:t>Rubric used to evaluate the planning memo.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W w:w="8640" w:type="dxa"/>
      </w:tblPr>
      <w:tblGrid>
        <w:gridCol w:w="2419"/>
        <w:gridCol w:w="3110"/>
        <w:gridCol w:w="3110"/>
      </w:tblGrid>
      <w:tr>
        <w:tc>
          <w:tcPr>
            <w:tcW w:w="2419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311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Achieving</w:t>
              <w:br/>
              <w:t>90%+</w:t>
            </w:r>
          </w:p>
        </w:tc>
        <w:tc>
          <w:tcPr>
            <w:tcW w:w="311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Developing</w:t>
              <w:br/>
              <w:t>50%+</w:t>
            </w:r>
          </w:p>
        </w:tc>
      </w:tr>
      <w:tr>
        <w:tc>
          <w:tcPr>
            <w:tcW w:w="2419" w:type="dxa"/>
          </w:tcPr>
          <w:p>
            <w:pPr>
              <w:spacing w:before="0" w:after="0"/>
            </w:pPr>
            <w:r>
              <w:rPr>
                <w:b/>
                <w:sz w:val="18"/>
              </w:rPr>
              <w:t>Planning clarity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10 pts</w:t>
            </w:r>
            <w:r>
              <w:br/>
            </w:r>
            <w:r>
              <w:rPr>
                <w:sz w:val="16"/>
              </w:rPr>
              <w:t>Explains the planning problem and next action clearly.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5 pts</w:t>
            </w:r>
            <w:r>
              <w:br/>
            </w:r>
            <w:r>
              <w:rPr>
                <w:sz w:val="16"/>
              </w:rPr>
              <w:t>Identifies the planning problem but needs more actionable detail.</w:t>
            </w:r>
          </w:p>
        </w:tc>
      </w:tr>
      <w:tr>
        <w:tc>
          <w:tcPr>
            <w:tcW w:w="2419" w:type="dxa"/>
          </w:tcPr>
          <w:p>
            <w:pPr>
              <w:spacing w:before="0" w:after="0"/>
            </w:pPr>
            <w:r>
              <w:rPr>
                <w:b/>
                <w:sz w:val="18"/>
              </w:rPr>
              <w:t>Evidence use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10 pts</w:t>
            </w:r>
            <w:r>
              <w:br/>
            </w:r>
            <w:r>
              <w:rPr>
                <w:sz w:val="16"/>
              </w:rPr>
              <w:t>Uses course evidence to justify the recommendation.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5 pts</w:t>
            </w:r>
            <w:r>
              <w:br/>
            </w:r>
            <w:r>
              <w:rPr>
                <w:sz w:val="16"/>
              </w:rPr>
              <w:t>References course evidence but does not fully connect it to the recommendation.</w:t>
            </w:r>
          </w:p>
        </w:tc>
      </w:tr>
    </w:tbl>
    <w:p/>
    <w:p>
      <w:pPr>
        <w:spacing w:before="80" w:after="40"/>
      </w:pPr>
      <w:r>
        <w:rPr>
          <w:b/>
        </w:rPr>
        <w:t>Overall scoring bands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W w:w="8640" w:type="dxa"/>
      </w:tblPr>
      <w:tblGrid>
        <w:gridCol w:w="2074"/>
        <w:gridCol w:w="1555"/>
        <w:gridCol w:w="5011"/>
      </w:tblGrid>
      <w:tr>
        <w:tc>
          <w:tcPr>
            <w:tcW w:w="2074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w="1555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Starts at</w:t>
            </w:r>
          </w:p>
        </w:tc>
        <w:tc>
          <w:tcPr>
            <w:tcW w:w="5011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Description / feedback</w:t>
            </w:r>
          </w:p>
        </w:tc>
      </w:tr>
      <w:tr>
        <w:tc>
          <w:tcPr>
            <w:tcW w:w="2074" w:type="dxa"/>
          </w:tcPr>
          <w:p>
            <w:pPr>
              <w:spacing w:before="0" w:after="0"/>
            </w:pPr>
            <w:r>
              <w:rPr>
                <w:sz w:val="16"/>
              </w:rPr>
              <w:t>Achieving</w:t>
            </w:r>
          </w:p>
        </w:tc>
        <w:tc>
          <w:tcPr>
            <w:tcW w:w="1555" w:type="dxa"/>
          </w:tcPr>
          <w:p>
            <w:pPr>
              <w:spacing w:before="0" w:after="0"/>
            </w:pPr>
            <w:r>
              <w:rPr>
                <w:sz w:val="16"/>
              </w:rPr>
              <w:t>90</w:t>
            </w:r>
          </w:p>
        </w:tc>
        <w:tc>
          <w:tcPr>
            <w:tcW w:w="5011" w:type="dxa"/>
          </w:tcPr>
          <w:p>
            <w:pPr>
              <w:spacing w:before="0" w:after="0"/>
            </w:pPr>
            <w:r>
              <w:rPr>
                <w:sz w:val="16"/>
              </w:rPr>
              <w:t>Meets expectations.</w:t>
            </w:r>
          </w:p>
        </w:tc>
      </w:tr>
      <w:tr>
        <w:tc>
          <w:tcPr>
            <w:tcW w:w="2074" w:type="dxa"/>
          </w:tcPr>
          <w:p>
            <w:pPr>
              <w:spacing w:before="0" w:after="0"/>
            </w:pPr>
            <w:r>
              <w:rPr>
                <w:sz w:val="16"/>
              </w:rPr>
              <w:t>Developing</w:t>
            </w:r>
          </w:p>
        </w:tc>
        <w:tc>
          <w:tcPr>
            <w:tcW w:w="1555" w:type="dxa"/>
          </w:tcPr>
          <w:p>
            <w:pPr>
              <w:spacing w:before="0" w:after="0"/>
            </w:pPr>
            <w:r>
              <w:rPr>
                <w:sz w:val="16"/>
              </w:rPr>
              <w:t>50</w:t>
            </w:r>
          </w:p>
        </w:tc>
        <w:tc>
          <w:tcPr>
            <w:tcW w:w="5011" w:type="dxa"/>
          </w:tcPr>
          <w:p>
            <w:pPr>
              <w:spacing w:before="0" w:after="0"/>
            </w:pPr>
            <w:r>
              <w:rPr>
                <w:sz w:val="16"/>
              </w:rPr>
              <w:t>Partially meets expectations.</w:t>
            </w:r>
          </w:p>
        </w:tc>
      </w:tr>
    </w:tbl>
    <w:p/>
    <w:p>
      <w:pPr>
        <w:pStyle w:val="Heading1"/>
      </w:pPr>
      <w:r>
        <w:t>Extraction Notes</w:t>
      </w:r>
    </w:p>
    <w:p>
      <w:pPr>
        <w:pStyle w:val="ListBullet"/>
        <w:spacing w:before="0" w:after="40"/>
      </w:pPr>
      <w:r>
        <w:t>Structure: content file 'Case Packet PDF': body extraction skipped for non-HTML file: files/week1-case-packet.pdf</w:t>
      </w:r>
    </w:p>
    <w:p>
      <w:pPr>
        <w:pStyle w:val="ListBullet"/>
        <w:spacing w:before="0" w:after="40"/>
      </w:pPr>
      <w:r>
        <w:t>Structure: hidden content 'Draft Quiz - Hidden': included as hidden/faculty-facing manifest link</w:t>
      </w:r>
    </w:p>
    <w:p>
      <w:pPr>
        <w:pStyle w:val="ListBullet"/>
        <w:spacing w:before="0" w:after="40"/>
      </w:pPr>
      <w:r>
        <w:t>Structure: hidden content 'Instructor Notes Draft': preserved as hidden/faculty-facing file reference: files/hidden-instructor-notes.docx</w:t>
      </w:r>
    </w:p>
    <w:p>
      <w:pPr>
        <w:pStyle w:val="ListBullet"/>
        <w:spacing w:before="0" w:after="40"/>
      </w:pPr>
      <w:r>
        <w:t>Structure: hidden content 'Hidden Faculty Setup Page': included as hidden/faculty-facing HTML body: pages/hidden-faculty-setup.html</w:t>
      </w:r>
    </w:p>
    <w:p>
      <w:pPr>
        <w:pStyle w:val="ListBullet"/>
        <w:spacing w:before="0" w:after="40"/>
      </w:pPr>
      <w:r>
        <w:t>Structure: Package scope: hidden manifest-linked non-HTML files preserved as references: 1 file(s), 38 B total; by type: document: 1 / 38 B; largest: files/hidden-instructor-notes.docx (38 B)</w:t>
      </w:r>
    </w:p>
    <w:p>
      <w:pPr>
        <w:pStyle w:val="ListBullet"/>
        <w:spacing w:before="0" w:after="40"/>
      </w:pPr>
      <w:r>
        <w:t>Structure: Package scope: HTML-referenced support files: 3 file(s), 667 B total; by type: frontend_support: 1 / 585 B, image: 2 / 82 B; largest: practice/week1-sort.practice.json (585 B), assets/equation-screenshot.png (47 B), assets/planning-cycle.png (35 B)</w:t>
      </w:r>
    </w:p>
    <w:p>
      <w:pPr>
        <w:pStyle w:val="ListBullet"/>
        <w:spacing w:before="0" w:after="40"/>
      </w:pPr>
      <w:r>
        <w:t>Structure: Package scope: files not directly linked from the visible manifest: 5 file(s), 304 B total; by type: xml: 3 / 234 B, document: 1 / 40 B, image: 1 / 30 B; largest: conditionalrelease_d2l.xml (108 B), survey_d2l_1.xml (78 B), links_d2l.xml (48 B), files/unlinked-faculty-deck.pptx (40 B), assets/unused-diagram.png (30 B)</w:t>
      </w:r>
    </w:p>
    <w:p>
      <w:pPr>
        <w:pStyle w:val="ListBullet"/>
        <w:spacing w:before="0" w:after="40"/>
      </w:pPr>
      <w:r>
        <w:t>Routing: Week 1: resource-like heading 'Required Resources' from overview page 'Week 1 Overview' kept in Overview because the module also has a separate resources/materials page.</w:t>
      </w:r>
    </w:p>
    <w:p>
      <w:pPr>
        <w:pStyle w:val="ListBullet"/>
        <w:spacing w:before="0" w:after="40"/>
      </w:pPr>
      <w:r>
        <w:t>Heading levels: 3 h1 headings inside page content are written as Heading 2 in the Word blueprint, because the page heading line is the page's h1. Every other heading level is one to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edu/readings/export-anatomy" TargetMode="External"/><Relationship Id="rId10" Type="http://schemas.openxmlformats.org/officeDocument/2006/relationships/hyperlink" Target="https://www.youtube.com/embed/dQw4w9WgX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