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rPr>
          <w:rFonts w:ascii="Calibri" w:hAnsi="Calibri" w:eastAsia="Calibri" w:cs="Calibri"/>
          <w:b/>
          <w:color w:val="2E74B5"/>
          <w:sz w:val="32"/>
        </w:rPr>
        <w:t>SYNTHETIC PRACTICE RUBRIC - REPLACE BEFORE USE</w:t>
      </w:r>
    </w:p>
    <w:tbl>
      <w:tblPr>
        <w:jc w:val="left"/>
        <w:tblLook w:firstColumn="1" w:firstRow="1" w:lastColumn="0" w:lastRow="0" w:noHBand="0" w:noVBand="1" w:val="04A0"/>
        <w:tblW w:w="9360" w:type="dxa"/>
        <w:tblInd w:w="120" w:type="dxa"/>
        <w:tblLayout w:type="fixed"/>
        <w:tblBorders>
          <w:top w:val="single" w:sz="4" w:space="0" w:color="AAB7C4"/>
          <w:start w:val="single" w:sz="4" w:space="0" w:color="AAB7C4"/>
          <w:bottom w:val="single" w:sz="4" w:space="0" w:color="AAB7C4"/>
          <w:end w:val="single" w:sz="4" w:space="0" w:color="AAB7C4"/>
          <w:insideH w:val="single" w:sz="4" w:space="0" w:color="AAB7C4"/>
          <w:insideV w:val="single" w:sz="4" w:space="0" w:color="AAB7C4"/>
        </w:tblBorders>
        <w:tblCellMar>
          <w:top w:w="80" w:type="dxa"/>
          <w:start w:w="120" w:type="dxa"/>
          <w:bottom w:w="80" w:type="dxa"/>
          <w:end w:w="120" w:type="dxa"/>
        </w:tblCellMar>
      </w:tblPr>
      <w:tblGrid>
        <w:gridCol w:w="1800"/>
        <w:gridCol w:w="900"/>
        <w:gridCol w:w="2220"/>
        <w:gridCol w:w="2220"/>
        <w:gridCol w:w="2220"/>
      </w:tblGrid>
      <w:tr>
        <w:trPr>
          <w:tblHeader w:val="true"/>
        </w:trPr>
        <w:tc>
          <w:tcPr>
            <w:shd w:val="clear" w:color="auto" w:fill="E8EEF5"/>
            <w:tcW w:w="1800" w:type="dxa"/>
            <w:vAlign w:val="center"/>
          </w:tcPr>
          <w:p>
            <w:pPr>
              <w:spacing w:before="0" w:after="0" w:line="259" w:lineRule="auto"/>
              <w:jc w:val="left"/>
            </w:pPr>
            <w:r/>
            <w:r>
              <w:rPr>
                <w:rFonts w:ascii="Calibri" w:hAnsi="Calibri" w:eastAsia="Calibri" w:cs="Calibri"/>
                <w:b/>
                <w:sz w:val="19"/>
              </w:rPr>
              <w:t>Criterion</w:t>
            </w:r>
          </w:p>
        </w:tc>
        <w:tc>
          <w:tcPr>
            <w:shd w:val="clear" w:color="auto" w:fill="E8EEF5"/>
            <w:tcW w:w="900" w:type="dxa"/>
            <w:vAlign w:val="center"/>
          </w:tcPr>
          <w:p>
            <w:pPr>
              <w:spacing w:before="0" w:after="0" w:line="259" w:lineRule="auto"/>
              <w:jc w:val="center"/>
            </w:pPr>
            <w:r/>
            <w:r>
              <w:rPr>
                <w:rFonts w:ascii="Calibri" w:hAnsi="Calibri" w:eastAsia="Calibri" w:cs="Calibri"/>
                <w:b/>
                <w:sz w:val="19"/>
              </w:rPr>
              <w:t>Weight</w:t>
            </w:r>
          </w:p>
        </w:tc>
        <w:tc>
          <w:tcPr>
            <w:shd w:val="clear" w:color="auto" w:fill="E8EEF5"/>
            <w:tcW w:w="2220" w:type="dxa"/>
            <w:vAlign w:val="center"/>
          </w:tcPr>
          <w:p>
            <w:pPr>
              <w:spacing w:before="0" w:after="0" w:line="259" w:lineRule="auto"/>
              <w:jc w:val="center"/>
            </w:pPr>
            <w:r/>
            <w:r>
              <w:rPr>
                <w:rFonts w:ascii="Calibri" w:hAnsi="Calibri" w:eastAsia="Calibri" w:cs="Calibri"/>
                <w:b/>
                <w:sz w:val="19"/>
              </w:rPr>
              <w:t>Ready to Share (100)</w:t>
            </w:r>
          </w:p>
        </w:tc>
        <w:tc>
          <w:tcPr>
            <w:shd w:val="clear" w:color="auto" w:fill="E8EEF5"/>
            <w:tcW w:w="2220" w:type="dxa"/>
            <w:vAlign w:val="center"/>
          </w:tcPr>
          <w:p>
            <w:pPr>
              <w:spacing w:before="0" w:after="0" w:line="259" w:lineRule="auto"/>
              <w:jc w:val="center"/>
            </w:pPr>
            <w:r/>
            <w:r>
              <w:rPr>
                <w:rFonts w:ascii="Calibri" w:hAnsi="Calibri" w:eastAsia="Calibri" w:cs="Calibri"/>
                <w:b/>
                <w:sz w:val="19"/>
              </w:rPr>
              <w:t>Needs Revision (60)</w:t>
            </w:r>
          </w:p>
        </w:tc>
        <w:tc>
          <w:tcPr>
            <w:shd w:val="clear" w:color="auto" w:fill="E8EEF5"/>
            <w:tcW w:w="2220" w:type="dxa"/>
            <w:vAlign w:val="center"/>
          </w:tcPr>
          <w:p>
            <w:pPr>
              <w:spacing w:before="0" w:after="0" w:line="259" w:lineRule="auto"/>
              <w:jc w:val="center"/>
            </w:pPr>
            <w:r/>
            <w:r>
              <w:rPr>
                <w:rFonts w:ascii="Calibri" w:hAnsi="Calibri" w:eastAsia="Calibri" w:cs="Calibri"/>
                <w:b/>
                <w:sz w:val="19"/>
              </w:rPr>
              <w:t>Not Yet Demonstrated (0)</w:t>
            </w:r>
          </w:p>
        </w:tc>
      </w:tr>
      <w:tr>
        <w:tc>
          <w:tcPr>
            <w:tcW w:w="1800" w:type="dxa"/>
            <w:vAlign w:val="center"/>
          </w:tcPr>
          <w:p>
            <w:pPr>
              <w:spacing w:before="0" w:after="0" w:line="259" w:lineRule="auto"/>
              <w:jc w:val="left"/>
            </w:pPr>
            <w:r/>
            <w:r>
              <w:rPr>
                <w:rFonts w:ascii="Calibri" w:hAnsi="Calibri" w:eastAsia="Calibri" w:cs="Calibri"/>
                <w:b/>
                <w:sz w:val="19"/>
              </w:rPr>
              <w:t>Evidence use</w:t>
            </w:r>
          </w:p>
        </w:tc>
        <w:tc>
          <w:tcPr>
            <w:tcW w:w="900" w:type="dxa"/>
            <w:vAlign w:val="center"/>
          </w:tcPr>
          <w:p>
            <w:pPr>
              <w:spacing w:before="0" w:after="0" w:line="259" w:lineRule="auto"/>
              <w:jc w:val="center"/>
            </w:pPr>
            <w:r/>
            <w:r>
              <w:rPr>
                <w:rFonts w:ascii="Calibri" w:hAnsi="Calibri" w:eastAsia="Calibri" w:cs="Calibri"/>
                <w:b w:val="0"/>
                <w:sz w:val="19"/>
              </w:rPr>
              <w:t>40</w:t>
            </w:r>
          </w:p>
        </w:tc>
        <w:tc>
          <w:tcPr>
            <w:tcW w:w="2220" w:type="dxa"/>
            <w:vAlign w:val="center"/>
          </w:tcPr>
          <w:p>
            <w:pPr>
              <w:spacing w:before="0" w:after="0" w:line="259" w:lineRule="auto"/>
              <w:jc w:val="left"/>
            </w:pPr>
            <w:r/>
            <w:r>
              <w:rPr>
                <w:rFonts w:ascii="Calibri" w:hAnsi="Calibri" w:eastAsia="Calibri" w:cs="Calibri"/>
                <w:b w:val="0"/>
                <w:sz w:val="19"/>
              </w:rPr>
              <w:t>Synthetic response uses specific practice evidence and explains why it matters.</w:t>
            </w:r>
          </w:p>
        </w:tc>
        <w:tc>
          <w:tcPr>
            <w:tcW w:w="2220" w:type="dxa"/>
            <w:vAlign w:val="center"/>
          </w:tcPr>
          <w:p>
            <w:pPr>
              <w:spacing w:before="0" w:after="0" w:line="259" w:lineRule="auto"/>
              <w:jc w:val="left"/>
            </w:pPr>
            <w:r/>
            <w:r>
              <w:rPr>
                <w:rFonts w:ascii="Calibri" w:hAnsi="Calibri" w:eastAsia="Calibri" w:cs="Calibri"/>
                <w:b w:val="0"/>
                <w:sz w:val="19"/>
              </w:rPr>
              <w:t>Synthetic response uses some practice evidence, but the explanation is incomplete.</w:t>
            </w:r>
          </w:p>
        </w:tc>
        <w:tc>
          <w:tcPr>
            <w:tcW w:w="2220" w:type="dxa"/>
            <w:vAlign w:val="center"/>
          </w:tcPr>
          <w:p>
            <w:pPr>
              <w:spacing w:before="0" w:after="0" w:line="259" w:lineRule="auto"/>
              <w:jc w:val="left"/>
            </w:pPr>
            <w:r/>
            <w:r>
              <w:rPr>
                <w:rFonts w:ascii="Calibri" w:hAnsi="Calibri" w:eastAsia="Calibri" w:cs="Calibri"/>
                <w:b w:val="0"/>
                <w:sz w:val="19"/>
              </w:rPr>
              <w:t>Synthetic response does not yet connect practice evidence to its claim.</w:t>
            </w:r>
          </w:p>
        </w:tc>
      </w:tr>
      <w:tr>
        <w:tc>
          <w:tcPr>
            <w:tcW w:w="1800" w:type="dxa"/>
            <w:vAlign w:val="center"/>
          </w:tcPr>
          <w:p>
            <w:pPr>
              <w:spacing w:before="0" w:after="0" w:line="259" w:lineRule="auto"/>
              <w:jc w:val="left"/>
            </w:pPr>
            <w:r/>
            <w:r>
              <w:rPr>
                <w:rFonts w:ascii="Calibri" w:hAnsi="Calibri" w:eastAsia="Calibri" w:cs="Calibri"/>
                <w:b/>
                <w:sz w:val="19"/>
              </w:rPr>
              <w:t>Reasoning</w:t>
            </w:r>
          </w:p>
        </w:tc>
        <w:tc>
          <w:tcPr>
            <w:tcW w:w="900" w:type="dxa"/>
            <w:vAlign w:val="center"/>
          </w:tcPr>
          <w:p>
            <w:pPr>
              <w:spacing w:before="0" w:after="0" w:line="259" w:lineRule="auto"/>
              <w:jc w:val="center"/>
            </w:pPr>
            <w:r/>
            <w:r>
              <w:rPr>
                <w:rFonts w:ascii="Calibri" w:hAnsi="Calibri" w:eastAsia="Calibri" w:cs="Calibri"/>
                <w:b w:val="0"/>
                <w:sz w:val="19"/>
              </w:rPr>
              <w:t>35</w:t>
            </w:r>
          </w:p>
        </w:tc>
        <w:tc>
          <w:tcPr>
            <w:tcW w:w="2220" w:type="dxa"/>
            <w:vAlign w:val="center"/>
          </w:tcPr>
          <w:p>
            <w:pPr>
              <w:spacing w:before="0" w:after="0" w:line="259" w:lineRule="auto"/>
              <w:jc w:val="left"/>
            </w:pPr>
            <w:r/>
            <w:r>
              <w:rPr>
                <w:rFonts w:ascii="Calibri" w:hAnsi="Calibri" w:eastAsia="Calibri" w:cs="Calibri"/>
                <w:b w:val="0"/>
                <w:sz w:val="19"/>
              </w:rPr>
              <w:t>Synthetic response makes a clear claim and follows a complete line of reasoning.</w:t>
            </w:r>
          </w:p>
        </w:tc>
        <w:tc>
          <w:tcPr>
            <w:tcW w:w="2220" w:type="dxa"/>
            <w:vAlign w:val="center"/>
          </w:tcPr>
          <w:p>
            <w:pPr>
              <w:spacing w:before="0" w:after="0" w:line="259" w:lineRule="auto"/>
              <w:jc w:val="left"/>
            </w:pPr>
            <w:r/>
            <w:r>
              <w:rPr>
                <w:rFonts w:ascii="Calibri" w:hAnsi="Calibri" w:eastAsia="Calibri" w:cs="Calibri"/>
                <w:b w:val="0"/>
                <w:sz w:val="19"/>
              </w:rPr>
              <w:t>Synthetic response has a recognizable claim, but part of the reasoning needs revision.</w:t>
            </w:r>
          </w:p>
        </w:tc>
        <w:tc>
          <w:tcPr>
            <w:tcW w:w="2220" w:type="dxa"/>
            <w:vAlign w:val="center"/>
          </w:tcPr>
          <w:p>
            <w:pPr>
              <w:spacing w:before="0" w:after="0" w:line="259" w:lineRule="auto"/>
              <w:jc w:val="left"/>
            </w:pPr>
            <w:r/>
            <w:r>
              <w:rPr>
                <w:rFonts w:ascii="Calibri" w:hAnsi="Calibri" w:eastAsia="Calibri" w:cs="Calibri"/>
                <w:b w:val="0"/>
                <w:sz w:val="19"/>
              </w:rPr>
              <w:t>Synthetic response does not yet provide a clear or supported line of reasoning.</w:t>
            </w:r>
          </w:p>
        </w:tc>
      </w:tr>
      <w:tr>
        <w:tc>
          <w:tcPr>
            <w:tcW w:w="1800" w:type="dxa"/>
            <w:vAlign w:val="center"/>
          </w:tcPr>
          <w:p>
            <w:pPr>
              <w:spacing w:before="0" w:after="0" w:line="259" w:lineRule="auto"/>
              <w:jc w:val="left"/>
            </w:pPr>
            <w:r/>
            <w:r>
              <w:rPr>
                <w:rFonts w:ascii="Calibri" w:hAnsi="Calibri" w:eastAsia="Calibri" w:cs="Calibri"/>
                <w:b/>
                <w:sz w:val="19"/>
              </w:rPr>
              <w:t>Audience and next step</w:t>
            </w:r>
          </w:p>
        </w:tc>
        <w:tc>
          <w:tcPr>
            <w:tcW w:w="900" w:type="dxa"/>
            <w:vAlign w:val="center"/>
          </w:tcPr>
          <w:p>
            <w:pPr>
              <w:spacing w:before="0" w:after="0" w:line="259" w:lineRule="auto"/>
              <w:jc w:val="center"/>
            </w:pPr>
            <w:r/>
            <w:r>
              <w:rPr>
                <w:rFonts w:ascii="Calibri" w:hAnsi="Calibri" w:eastAsia="Calibri" w:cs="Calibri"/>
                <w:b w:val="0"/>
                <w:sz w:val="19"/>
              </w:rPr>
              <w:t>25</w:t>
            </w:r>
          </w:p>
        </w:tc>
        <w:tc>
          <w:tcPr>
            <w:tcW w:w="2220" w:type="dxa"/>
            <w:vAlign w:val="center"/>
          </w:tcPr>
          <w:p>
            <w:pPr>
              <w:spacing w:before="0" w:after="0" w:line="259" w:lineRule="auto"/>
              <w:jc w:val="left"/>
            </w:pPr>
            <w:r/>
            <w:r>
              <w:rPr>
                <w:rFonts w:ascii="Calibri" w:hAnsi="Calibri" w:eastAsia="Calibri" w:cs="Calibri"/>
                <w:b w:val="0"/>
                <w:sz w:val="19"/>
              </w:rPr>
              <w:t>Synthetic response fits its practice audience and names a useful next step.</w:t>
            </w:r>
          </w:p>
        </w:tc>
        <w:tc>
          <w:tcPr>
            <w:tcW w:w="2220" w:type="dxa"/>
            <w:vAlign w:val="center"/>
          </w:tcPr>
          <w:p>
            <w:pPr>
              <w:spacing w:before="0" w:after="0" w:line="259" w:lineRule="auto"/>
              <w:jc w:val="left"/>
            </w:pPr>
            <w:r/>
            <w:r>
              <w:rPr>
                <w:rFonts w:ascii="Calibri" w:hAnsi="Calibri" w:eastAsia="Calibri" w:cs="Calibri"/>
                <w:b w:val="0"/>
                <w:sz w:val="19"/>
              </w:rPr>
              <w:t>Synthetic response partly addresses its audience or gives a general next step.</w:t>
            </w:r>
          </w:p>
        </w:tc>
        <w:tc>
          <w:tcPr>
            <w:tcW w:w="2220" w:type="dxa"/>
            <w:vAlign w:val="center"/>
          </w:tcPr>
          <w:p>
            <w:pPr>
              <w:spacing w:before="0" w:after="0" w:line="259" w:lineRule="auto"/>
              <w:jc w:val="left"/>
            </w:pPr>
            <w:r/>
            <w:r>
              <w:rPr>
                <w:rFonts w:ascii="Calibri" w:hAnsi="Calibri" w:eastAsia="Calibri" w:cs="Calibri"/>
                <w:b w:val="0"/>
                <w:sz w:val="19"/>
              </w:rPr>
              <w:t>Synthetic response does not yet address its audience or identify a next step.</w:t>
            </w:r>
          </w:p>
        </w:tc>
      </w:tr>
    </w:tbl>
    <w:p>
      <w:pPr>
        <w:keepLines/>
        <w:spacing w:before="160"/>
      </w:pPr>
      <w:r>
        <w:rPr>
          <w:rFonts w:ascii="Calibri" w:hAnsi="Calibri" w:eastAsia="Calibri" w:cs="Calibri"/>
          <w:b/>
          <w:sz w:val="22"/>
        </w:rPr>
        <w:t xml:space="preserve">Edit the synthetic example. </w:t>
      </w:r>
      <w:r>
        <w:rPr>
          <w:rFonts w:ascii="Calibri" w:hAnsi="Calibri" w:eastAsia="Calibri" w:cs="Calibri"/>
          <w:b w:val="0"/>
          <w:sz w:val="22"/>
        </w:rPr>
        <w:t>Replace the title, criteria, level names, numeric scores, weights, and descriptions. You may add or remove criterion rows and performance-level columns; keep one Criterion column, one criterion per row, and at least two uniquely named level columns.</w:t>
      </w:r>
    </w:p>
    <w:p>
      <w:pPr>
        <w:keepLines/>
        <w:spacing w:before="0"/>
      </w:pPr>
      <w:r>
        <w:rPr>
          <w:rFonts w:ascii="Calibri" w:hAnsi="Calibri" w:eastAsia="Calibri" w:cs="Calibri"/>
          <w:b/>
          <w:sz w:val="22"/>
        </w:rPr>
        <w:t xml:space="preserve">Keep scoring explicit. </w:t>
      </w:r>
      <w:r>
        <w:rPr>
          <w:rFonts w:ascii="Calibri" w:hAnsi="Calibri" w:eastAsia="Calibri" w:cs="Calibri"/>
          <w:b w:val="0"/>
          <w:sz w:val="22"/>
        </w:rPr>
        <w:t>Put exactly one numeric score in every level header, such as Ready to Share (100). The Weight column is structurally optional, but this example includes explicit positive weights totaling 100 so it needs no fallback.</w:t>
      </w:r>
    </w:p>
    <w:p>
      <w:pPr>
        <w:keepLines/>
        <w:spacing w:before="0"/>
      </w:pPr>
      <w:r>
        <w:rPr>
          <w:rFonts w:ascii="Calibri" w:hAnsi="Calibri" w:eastAsia="Calibri" w:cs="Calibri"/>
          <w:b/>
          <w:sz w:val="22"/>
        </w:rPr>
        <w:t xml:space="preserve">Avoid ambiguous Word structure. </w:t>
      </w:r>
      <w:r>
        <w:rPr>
          <w:rFonts w:ascii="Calibri" w:hAnsi="Calibri" w:eastAsia="Calibri" w:cs="Calibri"/>
          <w:b w:val="0"/>
          <w:sz w:val="22"/>
        </w:rPr>
        <w:t>Keep one simple rectangular table. Do not merge cells, nest tables, use multiple header bands, add row-number or notes columns, detach scoring into another table, or rely on a decorative layout. Correct ambiguous structure or use Markdown or JSON.</w:t>
      </w:r>
    </w:p>
    <w:p>
      <w:pPr>
        <w:keepLines/>
        <w:spacing w:before="0"/>
      </w:pPr>
      <w:r>
        <w:rPr>
          <w:rFonts w:ascii="Calibri" w:hAnsi="Calibri" w:eastAsia="Calibri" w:cs="Calibri"/>
          <w:b/>
          <w:sz w:val="22"/>
        </w:rPr>
        <w:t xml:space="preserve">Correct or approve a fallback visibly. </w:t>
      </w:r>
      <w:r>
        <w:rPr>
          <w:rFonts w:ascii="Calibri" w:hAnsi="Calibri" w:eastAsia="Calibri" w:cs="Calibri"/>
          <w:b w:val="0"/>
          <w:sz w:val="22"/>
        </w:rPr>
        <w:t>If preflight reports missing or ambiguous scores or weights, correct the source and run it again. Approve even spacing or equal weights only when you intentionally choose that fallback; the producer records the approval and never invents scoring silently.</w:t>
      </w:r>
    </w:p>
    <w:p>
      <w:pPr>
        <w:keepLines/>
        <w:spacing w:before="0"/>
      </w:pPr>
      <w:r>
        <w:rPr>
          <w:rFonts w:ascii="Calibri" w:hAnsi="Calibri" w:eastAsia="Calibri" w:cs="Calibri"/>
          <w:b/>
          <w:sz w:val="22"/>
        </w:rPr>
        <w:t xml:space="preserve">Respect the Brightspace boundary. </w:t>
      </w:r>
      <w:r>
        <w:rPr>
          <w:rFonts w:ascii="Calibri" w:hAnsi="Calibri" w:eastAsia="Calibri" w:cs="Calibri"/>
          <w:b w:val="0"/>
          <w:sz w:val="22"/>
        </w:rPr>
        <w:t>Weave builds and validates a rubric-only import package; that is not a Brightspace import or proof of Brightspace acceptance. Importing the package does not attach the rubric to an assignment, discussion, quiz, or grade item. Activity attachment is a separate manual step.</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cs="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line="240" w:lineRule="auto"/>
      <w:outlineLvl w:val="0"/>
    </w:pPr>
    <w:rPr>
      <w:rFonts w:asciiTheme="majorHAnsi" w:eastAsiaTheme="majorEastAsia" w:hAnsiTheme="majorHAnsi" w:cstheme="majorBidi" w:ascii="Calibri" w:hAnsi="Calibri" w:eastAsia="Calibri"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Rubric Weave Intake Template</dc:title>
  <dc:subject>Synthetic editable rubric intake</dc:subject>
  <dc:creator>CourseCraft Workbench</dc:creator>
  <cp:keywords>rubric, synthetic, template, Brightspace</cp:keywords>
  <dc:description>Generated deterministically over the accepted Workbench producer 71552e912b79d73a00b4d70fd97bd32386fbe2a4.</dc:description>
  <cp:lastModifiedBy>CourseCraft Workbench</cp:lastModifiedBy>
  <cp:revision>1</cp:revision>
  <dcterms:created xsi:type="dcterms:W3CDTF">2000-01-01T00:00:00Z</dcterms:created>
  <dcterms:modified xsi:type="dcterms:W3CDTF">2000-01-01T00:00:00Z</dcterms:modified>
  <cp:category>Rubric Weave</cp:category>
</cp:coreProperties>
</file>