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spacing w:before="0" w:after="60"/>
      </w:pPr>
      <w:r>
        <w:rPr>
          <w:rFonts w:eastAsia="宋体" w:ascii="宋体" w:hAnsi="宋体"/>
          <w:sz w:val="56"/>
          <w:b/>
          <w:color w:val="2C4A7C"/>
        </w:rPr>
        <w:t xml:space="preserve">傅小凡</w:t>
      </w:r>
    </w:p>
    <w:p>
      <w:pPr>
        <w:spacing w:before="0" w:after="240"/>
      </w:pPr>
      <w:r>
        <w:rPr>
          <w:rFonts w:eastAsia="宋体" w:ascii="宋体" w:hAnsi="宋体"/>
          <w:sz w:val="24"/>
          <w:color w:val="444444"/>
        </w:rPr>
        <w:t xml:space="preserve">厦门大学管理学院 MBA中心 · 教授 · 博士生导师</w:t>
      </w:r>
    </w:p>
    <w:p>
      <w:pPr>
        <w:pBdr>
          <w:bottom w:val="single" w:sz="6" w:space="1" w:color="2C4A7C"/>
        </w:pBdr>
        <w:spacing w:before="0" w:after="60"/>
      </w:pPr>
    </w:p>
    <w:p>
      <w:pPr>
        <w:pStyle w:val="Heading2"/>
        <w:spacing w:before="240" w:after="120"/>
      </w:pPr>
      <w:r>
        <w:rPr>
          <w:rFonts w:eastAsia="黑体" w:ascii="黑体" w:hAnsi="黑体"/>
          <w:b/>
          <w:color w:val="2C4A7C"/>
          <w:sz w:val="32"/>
        </w:rPr>
        <w:t xml:space="preserve">📋 基本信息</w:t>
      </w:r>
    </w:p>
    <w:p>
      <w:pPr>
        <w:spacing w:before="60" w:after="60"/>
      </w:pPr>
      <w:r>
        <w:rPr>
          <w:rFonts w:eastAsia="宋体" w:ascii="宋体" w:hAnsi="宋体"/>
          <w:sz w:val="21"/>
        </w:rPr>
        <w:t xml:space="preserve">驻地：厦门（厦大）</w:t>
      </w:r>
    </w:p>
    <w:p>
      <w:pPr>
        <w:spacing w:before="60" w:after="60"/>
      </w:pPr>
      <w:r>
        <w:rPr>
          <w:rFonts w:eastAsia="宋体" w:ascii="宋体" w:hAnsi="宋体"/>
          <w:sz w:val="21"/>
        </w:rPr>
        <w:t xml:space="preserve">报价：3万元 / 天</w:t>
      </w:r>
    </w:p>
    <w:p>
      <w:pPr>
        <w:spacing w:before="60" w:after="60"/>
      </w:pPr>
      <w:r>
        <w:rPr>
          <w:rFonts w:eastAsia="宋体" w:ascii="宋体" w:hAnsi="宋体"/>
          <w:sz w:val="21"/>
        </w:rPr>
        <w:t xml:space="preserve">结算价：2.5万元 / 天</w:t>
      </w:r>
    </w:p>
    <w:p>
      <w:pPr>
        <w:pBdr>
          <w:bottom w:val="single" w:sz="6" w:space="1" w:color="2C4A7C"/>
        </w:pBdr>
        <w:spacing w:before="0" w:after="60"/>
      </w:pPr>
    </w:p>
    <w:p>
      <w:pPr>
        <w:pStyle w:val="Heading2"/>
        <w:spacing w:before="240" w:after="120"/>
      </w:pPr>
      <w:r>
        <w:rPr>
          <w:rFonts w:eastAsia="黑体" w:ascii="黑体" w:hAnsi="黑体"/>
          <w:b/>
          <w:color w:val="2C4A7C"/>
          <w:sz w:val="32"/>
        </w:rPr>
        <w:t xml:space="preserve">📊 关键数据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7年  央视《百家讲坛》主讲经验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200+ 期 节目播出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16+  可讲授课程主题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5本  个人专著出版</w:t>
      </w:r>
    </w:p>
    <w:p>
      <w:pPr>
        <w:pBdr>
          <w:bottom w:val="single" w:sz="6" w:space="1" w:color="2C4A7C"/>
        </w:pBdr>
        <w:spacing w:before="0" w:after="60"/>
      </w:pPr>
    </w:p>
    <w:p>
      <w:pPr>
        <w:pStyle w:val="Heading2"/>
        <w:spacing w:before="240" w:after="120"/>
      </w:pPr>
      <w:r>
        <w:rPr>
          <w:rFonts w:eastAsia="黑体" w:ascii="黑体" w:hAnsi="黑体"/>
          <w:b/>
          <w:color w:val="2C4A7C"/>
          <w:sz w:val="32"/>
        </w:rPr>
        <w:t xml:space="preserve">🎓 学术背景</w:t>
      </w:r>
    </w:p>
    <w:p>
      <w:pPr>
        <w:spacing w:before="0" w:after="180"/>
      </w:pPr>
      <w:r>
        <w:rPr>
          <w:rFonts w:eastAsia="宋体" w:ascii="宋体" w:hAnsi="宋体"/>
          <w:sz w:val="21"/>
        </w:rPr>
        <w:t xml:space="preserve">哲学博士，厦门大学管理学院MBA中心教授，博士生导师。主要担任中国哲学、伦理学、美学、中国文化、商业伦理与企业社会责任、中国管理哲学等课程的教学工作。自2014年3月至2021年11月，在中央电视台科技频道《百家讲坛》栏目，主讲《大明疑案》《国宝迷踪》等系列节目二百多期，影响力广泛。近年来出版《大明疑案》《国宝迷踪》《晚明风云》《辉煌与悲情》等著作及译著《苏格拉底申辩》。</w:t>
      </w:r>
    </w:p>
    <w:p>
      <w:pPr>
        <w:pBdr>
          <w:left w:val="single" w:sz="12" w:space="8" w:color="E8A020"/>
        </w:pBdr>
        <w:shd w:val="clear" w:color="auto" w:fill="FFF8E7"/>
        <w:spacing w:before="120" w:after="120"/>
      </w:pPr>
      <w:r>
        <w:rPr>
          <w:rFonts w:eastAsia="宋体" w:ascii="宋体" w:hAnsi="宋体"/>
          <w:color w:val="5A4020"/>
          <w:sz w:val="21"/>
        </w:rPr>
        <w:t xml:space="preserve">⭐ 央视《百家讲坛》常驻嘉宾，公众知名度高，适合高端论坛、企业内训、政府讲座等场景。</w:t>
      </w:r>
    </w:p>
    <w:p>
      <w:pPr>
        <w:pBdr>
          <w:bottom w:val="single" w:sz="6" w:space="1" w:color="2C4A7C"/>
        </w:pBdr>
        <w:spacing w:before="0" w:after="60"/>
      </w:pPr>
    </w:p>
    <w:p>
      <w:pPr>
        <w:pStyle w:val="Heading2"/>
        <w:spacing w:before="240" w:after="120"/>
      </w:pPr>
      <w:r>
        <w:rPr>
          <w:rFonts w:eastAsia="黑体" w:ascii="黑体" w:hAnsi="黑体"/>
          <w:b/>
          <w:color w:val="2C4A7C"/>
          <w:sz w:val="32"/>
        </w:rPr>
        <w:t xml:space="preserve">🔬 研究领域</w:t>
      </w:r>
    </w:p>
    <w:p>
      <w:pPr>
        <w:spacing w:before="0" w:after="180"/>
      </w:pPr>
      <w:r>
        <w:rPr>
          <w:rFonts w:eastAsia="宋体" w:ascii="宋体" w:hAnsi="宋体"/>
          <w:sz w:val="21"/>
        </w:rPr>
        <w:t xml:space="preserve">中国哲学　伦理学　美学　中国文化　商业伦理　企业社会责任　国学经典　阳明心学　领导力</w:t>
      </w:r>
    </w:p>
    <w:p>
      <w:pPr>
        <w:pBdr>
          <w:bottom w:val="single" w:sz="6" w:space="1" w:color="2C4A7C"/>
        </w:pBdr>
        <w:spacing w:before="0" w:after="60"/>
      </w:pPr>
    </w:p>
    <w:p>
      <w:pPr>
        <w:pStyle w:val="Heading2"/>
        <w:spacing w:before="240" w:after="120"/>
      </w:pPr>
      <w:r>
        <w:rPr>
          <w:rFonts w:eastAsia="黑体" w:ascii="黑体" w:hAnsi="黑体"/>
          <w:b/>
          <w:color w:val="2C4A7C"/>
          <w:sz w:val="32"/>
        </w:rPr>
        <w:t xml:space="preserve">📚 可讲授课程（16个主题）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哲学与人生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思辨与生活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孔子与苏格拉底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爱智·求知·批判——西方哲学思想的演变与现状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传统文化中的管理哲学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《孙子兵法》中的谋略与智慧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《周易》的人生智慧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《周易》的管理哲学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国学智慧与领导艺术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阳明心学与领导力提升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辉煌与悲情——两宋史话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禅的智慧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教育之道——中国传统教育哲学初探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中国古代艺术文化（造型/实用/文学艺术）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服饰文化与民族精神</w:t>
      </w:r>
    </w:p>
    <w:p>
      <w:pPr>
        <w:numPr>
          <w:ilvl w:val="0"/>
          <w:numId w:val="1"/>
        </w:numPr>
        <w:ind w:left="420" w:hanging="210"/>
      </w:pPr>
      <w:r>
        <w:rPr>
          <w:rFonts w:eastAsia="宋体" w:ascii="宋体" w:hAnsi="宋体"/>
          <w:sz w:val="20"/>
        </w:rPr>
        <w:t xml:space="preserve">海商与倭寇</w:t>
      </w:r>
    </w:p>
    <w:p>
      <w:pPr>
        <w:pBdr>
          <w:bottom w:val="single" w:sz="6" w:space="1" w:color="2C4A7C"/>
        </w:pBdr>
        <w:spacing w:before="0" w:after="60"/>
      </w:pPr>
    </w:p>
    <w:p>
      <w:pPr>
        <w:spacing w:before="240" w:after="0"/>
      </w:pPr>
      <w:r>
        <w:rPr>
          <w:rFonts w:eastAsia="宋体" w:ascii="宋体" w:hAnsi="宋体"/>
          <w:sz w:val="18"/>
          <w:color w:val="999999"/>
        </w:rPr>
        <w:t xml:space="preserve">本资料由师资顾问部整理 · 2026年4月 · 如有更新恕不另行通知</w:t>
      </w:r>
    </w:p>
    <w:sectPr>
      <w:pgSz w:w="11906" w:h="16838"/>
      <w:pgMar w:top="1440" w:right="1440" w:bottom="1440" w:left="18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20" w:hanging="210"/>
      </w:pPr>
      <w:rPr>
        <w:rFonts w:ascii="宋体" w:hAnsi="宋体" w:eastAsia="宋体" w:hint="eastAsia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eastAsia="宋体" w:ascii="宋体" w:hAnsi="宋体" w:hint="eastAsia"/>
        <w:sz w:val="24"/>
        <w:szCs w:val="24"/>
      </w:rPr>
    </w:rPrDefault>
  </w:docDefaults>
  <w:style w:type="paragraph" w:styleId="Normal" w:default="1">
    <w:name w:val="Normal"/>
    <w:rPr>
      <w:rFonts w:eastAsia="宋体" w:ascii="宋体" w:hAnsi="宋体"/>
    </w:rPr>
  </w:style>
  <w:style w:type="paragraph" w:styleId="Heading2">
    <w:name w:val="heading 2"/>
    <w:basedOn w:val="Normal"/>
    <w:pPr>
      <w:spacing w:before="240" w:after="120"/>
    </w:pPr>
    <w:rPr>
      <w:rFonts w:eastAsia="黑体" w:ascii="黑体" w:hAnsi="黑体"/>
      <w:b/>
      <w:color w:val="2C4A7C"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