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b/>
          <w:sz w:val="72"/>
          <w:szCs w:val="7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b/>
          <w:color w:val="A6A6A6" w:themeColor="background1" w:themeShade="A6"/>
          <w:sz w:val="72"/>
          <w:szCs w:val="72"/>
        </w:rPr>
        <w:t>Invoice</w:t>
      </w:r>
    </w:p>
    <w:p>
      <w:pPr>
        <w:rPr>
          <w:sz w:val="22"/>
          <w:szCs w:val="22"/>
        </w:rPr>
      </w:pPr>
    </w:p>
    <w:p>
      <w:pPr>
        <w:rPr>
          <w:rFonts w:hint="default" w:ascii="Helvetica" w:hAnsi="Helvetica" w:cs="Helvetica"/>
          <w:b/>
          <w:color w:val="000000"/>
          <w:sz w:val="22"/>
          <w:szCs w:val="22"/>
          <w:lang w:val="en-US"/>
        </w:rPr>
      </w:pPr>
      <w:r>
        <w:rPr>
          <w:rFonts w:hint="default" w:ascii="Helvetica" w:hAnsi="Helvetica" w:cs="Helvetica"/>
          <w:b/>
          <w:color w:val="000000"/>
          <w:sz w:val="22"/>
          <w:szCs w:val="22"/>
          <w:lang w:val="en-US"/>
        </w:rPr>
        <w:t>Bai</w:t>
      </w:r>
      <w:r>
        <w:rPr>
          <w:rFonts w:ascii="Helvetica" w:hAnsi="Helvetica" w:cs="Helvetica"/>
          <w:b/>
          <w:color w:val="000000"/>
          <w:sz w:val="22"/>
          <w:szCs w:val="22"/>
        </w:rPr>
        <w:t xml:space="preserve"> </w:t>
      </w:r>
      <w:r>
        <w:rPr>
          <w:rFonts w:hint="default" w:ascii="Helvetica" w:hAnsi="Helvetica" w:cs="Helvetica"/>
          <w:b/>
          <w:color w:val="000000"/>
          <w:sz w:val="22"/>
          <w:szCs w:val="22"/>
          <w:lang w:val="en-US"/>
        </w:rPr>
        <w:t>Feng</w:t>
      </w:r>
    </w:p>
    <w:tbl>
      <w:tblPr>
        <w:tblStyle w:val="7"/>
        <w:tblpPr w:leftFromText="180" w:rightFromText="180" w:vertAnchor="text" w:horzAnchor="margin" w:tblpXSpec="right" w:tblpY="-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1435"/>
      </w:tblGrid>
      <w:tr>
        <w:trPr>
          <w:trHeight w:val="246" w:hRule="atLeast"/>
        </w:trPr>
        <w:tc>
          <w:tcPr>
            <w:tcW w:w="1890" w:type="dxa"/>
          </w:tcPr>
          <w:p>
            <w:pPr>
              <w:rPr>
                <w:sz w:val="22"/>
                <w:szCs w:val="22"/>
              </w:rPr>
            </w:pPr>
            <w:r>
              <w:rPr>
                <w:sz w:val="22"/>
                <w:szCs w:val="22"/>
              </w:rPr>
              <w:t>Invoice number</w:t>
            </w:r>
          </w:p>
        </w:tc>
        <w:tc>
          <w:tcPr>
            <w:tcW w:w="1435" w:type="dxa"/>
          </w:tcPr>
          <w:p>
            <w:pPr>
              <w:rPr>
                <w:rFonts w:hint="default"/>
                <w:sz w:val="22"/>
                <w:szCs w:val="22"/>
                <w:lang w:val="en-US"/>
              </w:rPr>
            </w:pPr>
            <w:r>
              <w:rPr>
                <w:sz w:val="22"/>
                <w:szCs w:val="22"/>
              </w:rPr>
              <w:t>0</w:t>
            </w:r>
            <w:r>
              <w:rPr>
                <w:rFonts w:hint="default"/>
                <w:sz w:val="22"/>
                <w:szCs w:val="22"/>
                <w:lang w:val="en-US"/>
              </w:rPr>
              <w:t>10</w:t>
            </w:r>
            <w:r>
              <w:rPr>
                <w:rFonts w:hint="default"/>
                <w:sz w:val="22"/>
                <w:szCs w:val="22"/>
              </w:rPr>
              <w:t>4</w:t>
            </w:r>
          </w:p>
        </w:tc>
      </w:tr>
      <w:tr>
        <w:tc>
          <w:tcPr>
            <w:tcW w:w="1890" w:type="dxa"/>
          </w:tcPr>
          <w:p>
            <w:pPr>
              <w:rPr>
                <w:sz w:val="22"/>
                <w:szCs w:val="22"/>
              </w:rPr>
            </w:pPr>
            <w:r>
              <w:rPr>
                <w:sz w:val="22"/>
                <w:szCs w:val="22"/>
              </w:rPr>
              <w:t>Invoice Date</w:t>
            </w:r>
          </w:p>
        </w:tc>
        <w:tc>
          <w:tcPr>
            <w:tcW w:w="1435" w:type="dxa"/>
          </w:tcPr>
          <w:p>
            <w:pPr>
              <w:rPr>
                <w:rFonts w:hint="default"/>
                <w:sz w:val="22"/>
                <w:szCs w:val="22"/>
                <w:lang w:val="en-US"/>
              </w:rPr>
            </w:pPr>
            <w:r>
              <w:rPr>
                <w:sz w:val="22"/>
                <w:szCs w:val="22"/>
              </w:rPr>
              <w:t>4/</w:t>
            </w:r>
            <w:r>
              <w:rPr>
                <w:sz w:val="22"/>
                <w:szCs w:val="22"/>
              </w:rPr>
              <w:t>11</w:t>
            </w:r>
            <w:r>
              <w:rPr>
                <w:sz w:val="22"/>
                <w:szCs w:val="22"/>
              </w:rPr>
              <w:t>/202</w:t>
            </w:r>
            <w:r>
              <w:rPr>
                <w:rFonts w:hint="default"/>
                <w:sz w:val="22"/>
                <w:szCs w:val="22"/>
                <w:lang w:val="en-US"/>
              </w:rPr>
              <w:t>2</w:t>
            </w:r>
          </w:p>
        </w:tc>
      </w:tr>
      <w:tr>
        <w:tc>
          <w:tcPr>
            <w:tcW w:w="1890" w:type="dxa"/>
          </w:tcPr>
          <w:p>
            <w:pPr>
              <w:rPr>
                <w:sz w:val="22"/>
                <w:szCs w:val="22"/>
              </w:rPr>
            </w:pPr>
            <w:r>
              <w:rPr>
                <w:sz w:val="22"/>
                <w:szCs w:val="22"/>
              </w:rPr>
              <w:t>Due date</w:t>
            </w:r>
          </w:p>
        </w:tc>
        <w:tc>
          <w:tcPr>
            <w:tcW w:w="1435" w:type="dxa"/>
          </w:tcPr>
          <w:p>
            <w:pPr>
              <w:rPr>
                <w:rFonts w:hint="default"/>
                <w:sz w:val="22"/>
                <w:szCs w:val="22"/>
                <w:lang w:val="en-US"/>
              </w:rPr>
            </w:pPr>
            <w:r>
              <w:rPr>
                <w:sz w:val="22"/>
                <w:szCs w:val="22"/>
              </w:rPr>
              <w:t>4/</w:t>
            </w:r>
            <w:r>
              <w:rPr>
                <w:sz w:val="22"/>
                <w:szCs w:val="22"/>
              </w:rPr>
              <w:t>11</w:t>
            </w:r>
            <w:r>
              <w:rPr>
                <w:sz w:val="22"/>
                <w:szCs w:val="22"/>
              </w:rPr>
              <w:t>/202</w:t>
            </w:r>
            <w:r>
              <w:rPr>
                <w:rFonts w:hint="default"/>
                <w:sz w:val="22"/>
                <w:szCs w:val="22"/>
                <w:lang w:val="en-US"/>
              </w:rPr>
              <w:t>2</w:t>
            </w:r>
          </w:p>
        </w:tc>
      </w:tr>
    </w:tbl>
    <w:p>
      <w:pPr>
        <w:rPr>
          <w:rFonts w:ascii="Helvetica" w:hAnsi="Helvetica" w:cs="Helvetica"/>
          <w:color w:val="000000"/>
          <w:sz w:val="22"/>
          <w:szCs w:val="22"/>
        </w:rPr>
      </w:pP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Chizhequ Beier</w:t>
      </w:r>
      <w:r>
        <w:rPr>
          <w:rFonts w:ascii="Helvetica" w:hAnsi="Helvetica" w:cs="Helvetica"/>
          <w:color w:val="000000"/>
          <w:sz w:val="22"/>
          <w:szCs w:val="22"/>
        </w:rPr>
        <w:t xml:space="preserve"> 8</w:t>
      </w:r>
      <w:r>
        <w:rPr>
          <w:rFonts w:hint="default" w:ascii="Helvetica" w:hAnsi="Helvetica" w:cs="Helvetica"/>
          <w:color w:val="000000"/>
          <w:sz w:val="22"/>
          <w:szCs w:val="22"/>
          <w:lang w:val="en-US"/>
        </w:rPr>
        <w:t xml:space="preserve"> </w:t>
      </w:r>
      <w:r>
        <w:rPr>
          <w:rFonts w:ascii="Helvetica" w:hAnsi="Helvetica" w:cs="Helvetica"/>
          <w:color w:val="000000"/>
          <w:sz w:val="22"/>
          <w:szCs w:val="22"/>
        </w:rPr>
        <w:t>#</w:t>
      </w:r>
      <w:r>
        <w:rPr>
          <w:rFonts w:hint="default" w:ascii="Helvetica" w:hAnsi="Helvetica" w:cs="Helvetica"/>
          <w:color w:val="000000"/>
          <w:sz w:val="22"/>
          <w:szCs w:val="22"/>
          <w:lang w:val="en-US"/>
        </w:rPr>
        <w:t>0601</w:t>
      </w:r>
    </w:p>
    <w:p>
      <w:pPr>
        <w:rPr>
          <w:rFonts w:ascii="Helvetica" w:hAnsi="Helvetica" w:cs="Helvetica"/>
          <w:color w:val="000000"/>
          <w:sz w:val="22"/>
          <w:szCs w:val="22"/>
        </w:rPr>
      </w:pPr>
      <w:r>
        <w:rPr>
          <w:rFonts w:hint="default" w:ascii="Helvetica" w:hAnsi="Helvetica" w:cs="Helvetica"/>
          <w:color w:val="000000"/>
          <w:sz w:val="22"/>
          <w:szCs w:val="22"/>
          <w:lang w:val="en-US"/>
        </w:rPr>
        <w:t>Shenyang</w:t>
      </w:r>
      <w:r>
        <w:rPr>
          <w:rFonts w:ascii="Helvetica" w:hAnsi="Helvetica" w:cs="Helvetica"/>
          <w:color w:val="000000"/>
          <w:sz w:val="22"/>
          <w:szCs w:val="22"/>
        </w:rPr>
        <w:t>shi Liaoningsheng  China</w:t>
      </w:r>
      <w:r>
        <w:rPr>
          <w:rFonts w:ascii="Helvetica" w:hAnsi="Helvetica" w:cs="Helvetica"/>
          <w:color w:val="000000"/>
          <w:sz w:val="22"/>
          <w:szCs w:val="22"/>
        </w:rPr>
        <w:br w:type="textWrapping"/>
      </w: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 xml:space="preserve">Paypal Email: </w:t>
      </w:r>
      <w:r>
        <w:rPr>
          <w:rFonts w:hint="default" w:ascii="Helvetica" w:hAnsi="Helvetica"/>
          <w:color w:val="000000"/>
          <w:sz w:val="22"/>
          <w:szCs w:val="22"/>
          <w:lang w:val="en-US"/>
        </w:rPr>
        <w:t>shsb.ceo@outlook.com</w:t>
      </w:r>
    </w:p>
    <w:p>
      <w:pPr>
        <w:rPr>
          <w:sz w:val="22"/>
          <w:szCs w:val="22"/>
        </w:rPr>
      </w:pPr>
    </w:p>
    <w:p>
      <w:pPr>
        <w:rPr>
          <w:sz w:val="22"/>
          <w:szCs w:val="22"/>
        </w:rPr>
      </w:pPr>
    </w:p>
    <w:p>
      <w:pPr>
        <w:rPr>
          <w:b/>
          <w:sz w:val="22"/>
          <w:szCs w:val="22"/>
        </w:rPr>
      </w:pPr>
      <w:r>
        <w:rPr>
          <w:b/>
          <w:sz w:val="22"/>
          <w:szCs w:val="22"/>
        </w:rPr>
        <w:t>Bill To</w:t>
      </w:r>
    </w:p>
    <w:p>
      <w:pPr>
        <w:rPr>
          <w:b/>
          <w:sz w:val="22"/>
          <w:szCs w:val="22"/>
        </w:rPr>
      </w:pPr>
    </w:p>
    <w:p>
      <w:pPr>
        <w:rPr>
          <w:sz w:val="22"/>
          <w:szCs w:val="22"/>
        </w:rPr>
      </w:pPr>
      <w:r>
        <w:rPr>
          <w:sz w:val="22"/>
          <w:szCs w:val="22"/>
        </w:rPr>
        <w:t>Risk Factor SLU</w:t>
      </w:r>
    </w:p>
    <w:p>
      <w:pPr>
        <w:rPr>
          <w:rFonts w:hint="default"/>
          <w:sz w:val="22"/>
          <w:szCs w:val="22"/>
          <w:lang w:val="en-US"/>
        </w:rPr>
      </w:pPr>
      <w:r>
        <w:rPr>
          <w:rFonts w:hint="default"/>
          <w:sz w:val="22"/>
          <w:szCs w:val="22"/>
          <w:lang w:val="en-US"/>
        </w:rPr>
        <w:t>Ctra del Forn, Urbanitazcio Ribagrossa, 11</w:t>
      </w:r>
    </w:p>
    <w:p>
      <w:pPr>
        <w:rPr>
          <w:rFonts w:hint="default"/>
          <w:sz w:val="22"/>
          <w:szCs w:val="22"/>
          <w:lang w:val="en-US"/>
        </w:rPr>
      </w:pPr>
      <w:r>
        <w:rPr>
          <w:rFonts w:hint="default"/>
          <w:sz w:val="22"/>
          <w:szCs w:val="22"/>
          <w:lang w:val="en-US"/>
        </w:rPr>
        <w:t>Edifici Alba 2, 2 - 6</w:t>
      </w:r>
    </w:p>
    <w:p>
      <w:pPr>
        <w:rPr>
          <w:rFonts w:hint="default"/>
          <w:sz w:val="22"/>
          <w:szCs w:val="22"/>
          <w:lang w:val="en-US"/>
        </w:rPr>
      </w:pPr>
      <w:r>
        <w:rPr>
          <w:rFonts w:hint="default"/>
          <w:sz w:val="22"/>
          <w:szCs w:val="22"/>
          <w:lang w:val="en-US"/>
        </w:rPr>
        <w:t>AD100 Canillo, Andorra</w:t>
      </w:r>
    </w:p>
    <w:p>
      <w:pPr>
        <w:rPr>
          <w:sz w:val="22"/>
          <w:szCs w:val="22"/>
        </w:rPr>
      </w:pPr>
      <w:r>
        <w:rPr>
          <w:rFonts w:hint="default"/>
          <w:sz w:val="22"/>
          <w:szCs w:val="22"/>
          <w:lang w:val="en-US"/>
        </w:rPr>
        <w:t>NRT L-716059-J</w:t>
      </w:r>
    </w:p>
    <w:p>
      <w:pPr>
        <w:rPr>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1278"/>
        <w:gridCol w:w="98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2" w:type="dxa"/>
          </w:tcPr>
          <w:p>
            <w:pPr>
              <w:jc w:val="center"/>
              <w:rPr>
                <w:b/>
                <w:sz w:val="22"/>
                <w:szCs w:val="22"/>
              </w:rPr>
            </w:pPr>
            <w:r>
              <w:rPr>
                <w:b/>
                <w:sz w:val="22"/>
                <w:szCs w:val="22"/>
              </w:rPr>
              <w:t>Description</w:t>
            </w:r>
          </w:p>
        </w:tc>
        <w:tc>
          <w:tcPr>
            <w:tcW w:w="1278" w:type="dxa"/>
          </w:tcPr>
          <w:p>
            <w:pPr>
              <w:jc w:val="center"/>
              <w:rPr>
                <w:b/>
                <w:sz w:val="22"/>
                <w:szCs w:val="22"/>
              </w:rPr>
            </w:pPr>
            <w:r>
              <w:rPr>
                <w:b/>
                <w:sz w:val="22"/>
                <w:szCs w:val="22"/>
              </w:rPr>
              <w:t>Period</w:t>
            </w:r>
          </w:p>
        </w:tc>
        <w:tc>
          <w:tcPr>
            <w:tcW w:w="980" w:type="dxa"/>
          </w:tcPr>
          <w:p>
            <w:pPr>
              <w:jc w:val="center"/>
              <w:rPr>
                <w:b/>
                <w:sz w:val="22"/>
                <w:szCs w:val="22"/>
              </w:rPr>
            </w:pPr>
            <w:r>
              <w:rPr>
                <w:b/>
                <w:sz w:val="22"/>
                <w:szCs w:val="22"/>
              </w:rPr>
              <w:t>Hours</w:t>
            </w:r>
          </w:p>
        </w:tc>
        <w:tc>
          <w:tcPr>
            <w:tcW w:w="1320" w:type="dxa"/>
          </w:tcPr>
          <w:p>
            <w:pPr>
              <w:jc w:val="center"/>
              <w:rPr>
                <w:b/>
                <w:sz w:val="22"/>
                <w:szCs w:val="22"/>
              </w:rPr>
            </w:pPr>
            <w:r>
              <w:rPr>
                <w:b/>
                <w:sz w:val="22"/>
                <w:szCs w:val="22"/>
              </w:rPr>
              <w:t>Price</w:t>
            </w:r>
          </w:p>
        </w:tc>
        <w:tc>
          <w:tcPr>
            <w:tcW w:w="1320" w:type="dxa"/>
          </w:tcPr>
          <w:p>
            <w:pPr>
              <w:jc w:val="center"/>
              <w:rPr>
                <w:b/>
                <w:sz w:val="22"/>
                <w:szCs w:val="22"/>
              </w:rPr>
            </w:pPr>
            <w:r>
              <w:rPr>
                <w:b/>
                <w:sz w:val="22"/>
                <w:szCs w:val="22"/>
              </w:rPr>
              <w:t>Total</w:t>
            </w:r>
          </w:p>
        </w:tc>
      </w:tr>
      <w:tr>
        <w:tc>
          <w:tcPr>
            <w:tcW w:w="4452" w:type="dxa"/>
          </w:tcPr>
          <w:p>
            <w:pPr>
              <w:rPr>
                <w:rFonts w:hint="default"/>
                <w:sz w:val="22"/>
                <w:szCs w:val="22"/>
              </w:rPr>
            </w:pPr>
            <w:r>
              <w:rPr>
                <w:rFonts w:hint="default"/>
                <w:sz w:val="22"/>
                <w:szCs w:val="22"/>
              </w:rPr>
              <w:t>Cluster not working, data layer menu editor, client vanity logo, alert types panel, gauge widget, required options for all widgets include icon, selected popup window visibility enhancements, timestamp data widget, timeseries chart widget, response plan step acknowledge widget, document widget parameters and css options</w:t>
            </w:r>
            <w:bookmarkStart w:id="0" w:name="_GoBack"/>
            <w:bookmarkEnd w:id="0"/>
            <w:r>
              <w:rPr>
                <w:rFonts w:hint="default"/>
                <w:sz w:val="22"/>
                <w:szCs w:val="22"/>
              </w:rPr>
              <w:br w:type="textWrapping"/>
            </w:r>
            <w:r>
              <w:rPr>
                <w:rFonts w:hint="default"/>
                <w:sz w:val="22"/>
                <w:szCs w:val="22"/>
              </w:rPr>
              <w:t xml:space="preserve"> </w:t>
            </w:r>
          </w:p>
        </w:tc>
        <w:tc>
          <w:tcPr>
            <w:tcW w:w="1278" w:type="dxa"/>
          </w:tcPr>
          <w:p>
            <w:pPr>
              <w:jc w:val="center"/>
              <w:rPr>
                <w:sz w:val="22"/>
                <w:szCs w:val="22"/>
              </w:rPr>
            </w:pPr>
            <w:r>
              <w:rPr>
                <w:rFonts w:hint="default"/>
                <w:sz w:val="22"/>
                <w:szCs w:val="22"/>
              </w:rPr>
              <w:t>4</w:t>
            </w:r>
            <w:r>
              <w:rPr>
                <w:sz w:val="22"/>
                <w:szCs w:val="22"/>
              </w:rPr>
              <w:t>/</w:t>
            </w:r>
            <w:r>
              <w:rPr>
                <w:sz w:val="22"/>
                <w:szCs w:val="22"/>
              </w:rPr>
              <w:t>4</w:t>
            </w:r>
            <w:r>
              <w:rPr>
                <w:sz w:val="22"/>
                <w:szCs w:val="22"/>
              </w:rPr>
              <w:t>/202</w:t>
            </w:r>
            <w:r>
              <w:rPr>
                <w:rFonts w:hint="default"/>
                <w:sz w:val="22"/>
                <w:szCs w:val="22"/>
              </w:rPr>
              <w:t>2</w:t>
            </w:r>
          </w:p>
          <w:p>
            <w:pPr>
              <w:jc w:val="center"/>
              <w:rPr>
                <w:sz w:val="22"/>
                <w:szCs w:val="22"/>
              </w:rPr>
            </w:pPr>
            <w:r>
              <w:rPr>
                <w:sz w:val="22"/>
                <w:szCs w:val="22"/>
              </w:rPr>
              <w:t>To</w:t>
            </w:r>
          </w:p>
          <w:p>
            <w:pPr>
              <w:jc w:val="center"/>
              <w:rPr>
                <w:sz w:val="22"/>
                <w:szCs w:val="22"/>
              </w:rPr>
            </w:pPr>
            <w:r>
              <w:rPr>
                <w:rFonts w:hint="default"/>
                <w:sz w:val="22"/>
                <w:szCs w:val="22"/>
              </w:rPr>
              <w:t>4</w:t>
            </w:r>
            <w:r>
              <w:rPr>
                <w:sz w:val="22"/>
                <w:szCs w:val="22"/>
              </w:rPr>
              <w:t>/</w:t>
            </w:r>
            <w:r>
              <w:rPr>
                <w:sz w:val="22"/>
                <w:szCs w:val="22"/>
              </w:rPr>
              <w:t>10</w:t>
            </w:r>
            <w:r>
              <w:rPr>
                <w:sz w:val="22"/>
                <w:szCs w:val="22"/>
              </w:rPr>
              <w:t>/202</w:t>
            </w:r>
            <w:r>
              <w:rPr>
                <w:rFonts w:hint="default"/>
                <w:sz w:val="22"/>
                <w:szCs w:val="22"/>
                <w:lang w:val="en-US"/>
              </w:rPr>
              <w:t>2</w:t>
            </w:r>
          </w:p>
        </w:tc>
        <w:tc>
          <w:tcPr>
            <w:tcW w:w="980" w:type="dxa"/>
          </w:tcPr>
          <w:p>
            <w:pPr>
              <w:jc w:val="center"/>
              <w:rPr>
                <w:rFonts w:hint="default"/>
                <w:sz w:val="22"/>
                <w:szCs w:val="22"/>
              </w:rPr>
            </w:pPr>
            <w:r>
              <w:rPr>
                <w:rFonts w:hint="default"/>
                <w:sz w:val="22"/>
                <w:szCs w:val="22"/>
              </w:rPr>
              <w:t>40.4</w:t>
            </w:r>
          </w:p>
        </w:tc>
        <w:tc>
          <w:tcPr>
            <w:tcW w:w="1320" w:type="dxa"/>
          </w:tcPr>
          <w:p>
            <w:pPr>
              <w:jc w:val="center"/>
              <w:rPr>
                <w:sz w:val="22"/>
                <w:szCs w:val="22"/>
              </w:rPr>
            </w:pPr>
            <w:r>
              <w:rPr>
                <w:rFonts w:hint="default"/>
                <w:sz w:val="22"/>
                <w:szCs w:val="22"/>
                <w:lang w:val="en-US"/>
              </w:rPr>
              <w:t>$4</w:t>
            </w:r>
            <w:r>
              <w:rPr>
                <w:sz w:val="22"/>
                <w:szCs w:val="22"/>
              </w:rPr>
              <w:t>0</w:t>
            </w:r>
          </w:p>
        </w:tc>
        <w:tc>
          <w:tcPr>
            <w:tcW w:w="1320" w:type="dxa"/>
          </w:tcPr>
          <w:p>
            <w:pPr>
              <w:jc w:val="center"/>
              <w:rPr>
                <w:rFonts w:hint="default"/>
                <w:sz w:val="22"/>
                <w:szCs w:val="22"/>
                <w:lang w:val="en-US"/>
              </w:rPr>
            </w:pPr>
            <w:r>
              <w:rPr>
                <w:rFonts w:hint="default"/>
                <w:sz w:val="22"/>
                <w:szCs w:val="22"/>
                <w:lang w:val="en-US"/>
              </w:rPr>
              <w:t>$</w:t>
            </w:r>
            <w:r>
              <w:rPr>
                <w:rFonts w:hint="default"/>
                <w:sz w:val="22"/>
                <w:szCs w:val="22"/>
              </w:rPr>
              <w:t>1</w:t>
            </w:r>
            <w:r>
              <w:rPr>
                <w:rFonts w:hint="default"/>
                <w:sz w:val="22"/>
                <w:szCs w:val="22"/>
              </w:rPr>
              <w:t>616</w:t>
            </w:r>
          </w:p>
        </w:tc>
      </w:tr>
    </w:tbl>
    <w:p>
      <w:pPr>
        <w:ind w:left="4320" w:firstLine="720"/>
        <w:rPr>
          <w:sz w:val="22"/>
          <w:szCs w:val="22"/>
        </w:rPr>
      </w:pPr>
    </w:p>
    <w:p>
      <w:pPr>
        <w:ind w:left="4320" w:firstLine="720"/>
        <w:rPr>
          <w:rFonts w:hint="default"/>
          <w:sz w:val="22"/>
          <w:szCs w:val="22"/>
          <w:lang w:val="en-US"/>
        </w:rPr>
      </w:pPr>
      <w:r>
        <w:rPr>
          <w:sz w:val="22"/>
          <w:szCs w:val="22"/>
        </w:rPr>
        <w:tab/>
      </w:r>
      <w:r>
        <w:rPr>
          <w:sz w:val="22"/>
          <w:szCs w:val="22"/>
        </w:rPr>
        <w:tab/>
      </w:r>
      <w:r>
        <w:rPr>
          <w:sz w:val="22"/>
          <w:szCs w:val="22"/>
        </w:rPr>
        <w:tab/>
      </w:r>
      <w:r>
        <w:rPr>
          <w:sz w:val="22"/>
          <w:szCs w:val="22"/>
        </w:rPr>
        <w:tab/>
      </w:r>
      <w:r>
        <w:rPr>
          <w:sz w:val="22"/>
          <w:szCs w:val="22"/>
        </w:rPr>
        <w:t xml:space="preserve">          </w:t>
      </w:r>
      <w:r>
        <w:rPr>
          <w:rFonts w:hint="default"/>
          <w:sz w:val="22"/>
          <w:szCs w:val="22"/>
          <w:lang w:val="en-US"/>
        </w:rPr>
        <w:t>$</w:t>
      </w:r>
      <w:r>
        <w:rPr>
          <w:rFonts w:hint="default"/>
          <w:sz w:val="22"/>
          <w:szCs w:val="22"/>
        </w:rPr>
        <w:t>1</w:t>
      </w:r>
      <w:r>
        <w:rPr>
          <w:rFonts w:hint="default"/>
          <w:sz w:val="22"/>
          <w:szCs w:val="22"/>
        </w:rPr>
        <w:t>616</w:t>
      </w:r>
    </w:p>
    <w:p>
      <w:pPr>
        <w:ind w:left="4320" w:firstLine="720"/>
        <w:rPr>
          <w:rFonts w:hint="default"/>
          <w:sz w:val="22"/>
          <w:szCs w:val="22"/>
          <w:lang w:val="en-US"/>
        </w:rPr>
      </w:pPr>
    </w:p>
    <w:p>
      <w:pPr>
        <w:ind w:left="4320" w:firstLine="720"/>
        <w:rPr>
          <w:sz w:val="22"/>
          <w:szCs w:val="22"/>
        </w:rPr>
      </w:pPr>
    </w:p>
    <w:p>
      <w:pPr>
        <w:ind w:left="4320" w:firstLine="720"/>
        <w:rPr>
          <w:sz w:val="22"/>
          <w:szCs w:val="22"/>
        </w:rPr>
      </w:pPr>
    </w:p>
    <w:p>
      <w:pPr>
        <w:ind w:left="5760" w:firstLine="720"/>
        <w:rPr>
          <w:sz w:val="22"/>
          <w:szCs w:val="22"/>
        </w:rPr>
      </w:pPr>
      <w:r>
        <w:rPr>
          <w:sz w:val="22"/>
          <w:szCs w:val="22"/>
        </w:rPr>
        <w:drawing>
          <wp:inline distT="0" distB="0" distL="114300" distR="114300">
            <wp:extent cx="1385570" cy="456565"/>
            <wp:effectExtent l="0" t="0" r="5080" b="635"/>
            <wp:docPr id="3" name="Picture 3" descr="IMG_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0460"/>
                    <pic:cNvPicPr>
                      <a:picLocks noChangeAspect="1"/>
                    </pic:cNvPicPr>
                  </pic:nvPicPr>
                  <pic:blipFill>
                    <a:blip r:embed="rId4"/>
                    <a:stretch>
                      <a:fillRect/>
                    </a:stretch>
                  </pic:blipFill>
                  <pic:spPr>
                    <a:xfrm>
                      <a:off x="0" y="0"/>
                      <a:ext cx="1385570" cy="45656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B3"/>
    <w:rsid w:val="001326BE"/>
    <w:rsid w:val="001B3EC4"/>
    <w:rsid w:val="001B6473"/>
    <w:rsid w:val="001E0448"/>
    <w:rsid w:val="00216BDB"/>
    <w:rsid w:val="002E5393"/>
    <w:rsid w:val="0033441A"/>
    <w:rsid w:val="0039716B"/>
    <w:rsid w:val="004A1455"/>
    <w:rsid w:val="00530FC1"/>
    <w:rsid w:val="0054254B"/>
    <w:rsid w:val="00622294"/>
    <w:rsid w:val="007023D7"/>
    <w:rsid w:val="0085583B"/>
    <w:rsid w:val="00856AED"/>
    <w:rsid w:val="008F2F03"/>
    <w:rsid w:val="009842BC"/>
    <w:rsid w:val="009F08C4"/>
    <w:rsid w:val="00AD6879"/>
    <w:rsid w:val="00AE28CA"/>
    <w:rsid w:val="00B2727C"/>
    <w:rsid w:val="00B36362"/>
    <w:rsid w:val="00B545D6"/>
    <w:rsid w:val="00BE0AEB"/>
    <w:rsid w:val="00CD0049"/>
    <w:rsid w:val="00DE7AAC"/>
    <w:rsid w:val="00E64FB3"/>
    <w:rsid w:val="00E915C5"/>
    <w:rsid w:val="00EE25D8"/>
    <w:rsid w:val="00F15793"/>
    <w:rsid w:val="00FD3372"/>
    <w:rsid w:val="01B71466"/>
    <w:rsid w:val="0275596F"/>
    <w:rsid w:val="02AA10A5"/>
    <w:rsid w:val="034813C3"/>
    <w:rsid w:val="037E24F0"/>
    <w:rsid w:val="041975D4"/>
    <w:rsid w:val="04317064"/>
    <w:rsid w:val="07692512"/>
    <w:rsid w:val="079F2693"/>
    <w:rsid w:val="0991102B"/>
    <w:rsid w:val="0B7711C4"/>
    <w:rsid w:val="0E931C81"/>
    <w:rsid w:val="0EAF69BF"/>
    <w:rsid w:val="0FFF441E"/>
    <w:rsid w:val="126D4514"/>
    <w:rsid w:val="135A5C33"/>
    <w:rsid w:val="13857C39"/>
    <w:rsid w:val="14587612"/>
    <w:rsid w:val="15040858"/>
    <w:rsid w:val="16996A82"/>
    <w:rsid w:val="175565AC"/>
    <w:rsid w:val="18020AED"/>
    <w:rsid w:val="1838214A"/>
    <w:rsid w:val="187F0C67"/>
    <w:rsid w:val="18CB1A09"/>
    <w:rsid w:val="19633513"/>
    <w:rsid w:val="1B713312"/>
    <w:rsid w:val="1BAD6350"/>
    <w:rsid w:val="1BD26674"/>
    <w:rsid w:val="1F493218"/>
    <w:rsid w:val="20EE7DDB"/>
    <w:rsid w:val="222F3E0E"/>
    <w:rsid w:val="23755DD6"/>
    <w:rsid w:val="23851EDD"/>
    <w:rsid w:val="23F96DFF"/>
    <w:rsid w:val="25EA3459"/>
    <w:rsid w:val="26E320B0"/>
    <w:rsid w:val="27D91D1E"/>
    <w:rsid w:val="289B254F"/>
    <w:rsid w:val="2B0D29AA"/>
    <w:rsid w:val="2D2A6D07"/>
    <w:rsid w:val="2D5E040F"/>
    <w:rsid w:val="2EEA4D0F"/>
    <w:rsid w:val="2EEFDE38"/>
    <w:rsid w:val="3063501C"/>
    <w:rsid w:val="31993DE1"/>
    <w:rsid w:val="323D1E79"/>
    <w:rsid w:val="32496C6F"/>
    <w:rsid w:val="334E513D"/>
    <w:rsid w:val="33DE0B47"/>
    <w:rsid w:val="347D232A"/>
    <w:rsid w:val="34CB522D"/>
    <w:rsid w:val="34D638FF"/>
    <w:rsid w:val="3505674C"/>
    <w:rsid w:val="358E5E9B"/>
    <w:rsid w:val="35A5434E"/>
    <w:rsid w:val="35F7CDFB"/>
    <w:rsid w:val="36924921"/>
    <w:rsid w:val="39B119C4"/>
    <w:rsid w:val="3A79533F"/>
    <w:rsid w:val="3A7C321B"/>
    <w:rsid w:val="3B1C272F"/>
    <w:rsid w:val="3B2161D6"/>
    <w:rsid w:val="3B2E7EEB"/>
    <w:rsid w:val="3C4705E8"/>
    <w:rsid w:val="3CE0473E"/>
    <w:rsid w:val="3D4E1919"/>
    <w:rsid w:val="3DD16940"/>
    <w:rsid w:val="3E763FE9"/>
    <w:rsid w:val="3F0D0C5A"/>
    <w:rsid w:val="3FAF2A7F"/>
    <w:rsid w:val="421F3092"/>
    <w:rsid w:val="430D2E96"/>
    <w:rsid w:val="45230DC1"/>
    <w:rsid w:val="463372D9"/>
    <w:rsid w:val="49246B12"/>
    <w:rsid w:val="49F805AE"/>
    <w:rsid w:val="4A7675DA"/>
    <w:rsid w:val="4C7F0CC4"/>
    <w:rsid w:val="4D6F348C"/>
    <w:rsid w:val="4FCD4190"/>
    <w:rsid w:val="50F0061D"/>
    <w:rsid w:val="52376D97"/>
    <w:rsid w:val="56305132"/>
    <w:rsid w:val="5673359B"/>
    <w:rsid w:val="56DF60D8"/>
    <w:rsid w:val="578E150D"/>
    <w:rsid w:val="583A64EE"/>
    <w:rsid w:val="58651359"/>
    <w:rsid w:val="5869049E"/>
    <w:rsid w:val="588B4CDF"/>
    <w:rsid w:val="58B0119E"/>
    <w:rsid w:val="599E3F2C"/>
    <w:rsid w:val="5A590711"/>
    <w:rsid w:val="5AE0697D"/>
    <w:rsid w:val="5AEC61E4"/>
    <w:rsid w:val="5C5928A4"/>
    <w:rsid w:val="5D5C4A3C"/>
    <w:rsid w:val="5F7FB50B"/>
    <w:rsid w:val="5FEB18BB"/>
    <w:rsid w:val="60653998"/>
    <w:rsid w:val="62504EB5"/>
    <w:rsid w:val="62E0358A"/>
    <w:rsid w:val="63745013"/>
    <w:rsid w:val="63C775D8"/>
    <w:rsid w:val="66092599"/>
    <w:rsid w:val="66B0188B"/>
    <w:rsid w:val="66D74220"/>
    <w:rsid w:val="686F5E94"/>
    <w:rsid w:val="695757BB"/>
    <w:rsid w:val="69987045"/>
    <w:rsid w:val="69E13572"/>
    <w:rsid w:val="6DE57D1E"/>
    <w:rsid w:val="6DFF2363"/>
    <w:rsid w:val="6F130BD9"/>
    <w:rsid w:val="72584CCD"/>
    <w:rsid w:val="733C4D36"/>
    <w:rsid w:val="73CD47E9"/>
    <w:rsid w:val="742B3495"/>
    <w:rsid w:val="74450C05"/>
    <w:rsid w:val="74CA3152"/>
    <w:rsid w:val="76025DA7"/>
    <w:rsid w:val="76572BBB"/>
    <w:rsid w:val="765B210C"/>
    <w:rsid w:val="76E25DB2"/>
    <w:rsid w:val="777259F1"/>
    <w:rsid w:val="777F166D"/>
    <w:rsid w:val="79407A05"/>
    <w:rsid w:val="7A2F5F15"/>
    <w:rsid w:val="7B786D7C"/>
    <w:rsid w:val="7B8335F3"/>
    <w:rsid w:val="7BDFF6EF"/>
    <w:rsid w:val="7BF220FB"/>
    <w:rsid w:val="7C8A08B9"/>
    <w:rsid w:val="7E4C16A8"/>
    <w:rsid w:val="7E571568"/>
    <w:rsid w:val="7ECC4179"/>
    <w:rsid w:val="7F5C5EE2"/>
    <w:rsid w:val="7FEEC715"/>
    <w:rsid w:val="7FFE075B"/>
    <w:rsid w:val="9BF713B4"/>
    <w:rsid w:val="9EFD7A71"/>
    <w:rsid w:val="BBEF790E"/>
    <w:rsid w:val="BFBF2221"/>
    <w:rsid w:val="CDEEA55E"/>
    <w:rsid w:val="DFFD0A37"/>
    <w:rsid w:val="EF7FE8EA"/>
    <w:rsid w:val="F7EF5935"/>
    <w:rsid w:val="F97FA945"/>
    <w:rsid w:val="FEFF8AA3"/>
    <w:rsid w:val="FFD3987B"/>
    <w:rsid w:val="FFD863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rPr>
      <w:rFonts w:ascii="Times New Roman" w:hAnsi="Times New Roman" w:cs="Times New Roman"/>
      <w:sz w:val="18"/>
      <w:szCs w:val="18"/>
    </w:rPr>
  </w:style>
  <w:style w:type="paragraph" w:styleId="3">
    <w:name w:val="footer"/>
    <w:basedOn w:val="1"/>
    <w:link w:val="9"/>
    <w:unhideWhenUsed/>
    <w:qFormat/>
    <w:uiPriority w:val="99"/>
    <w:pPr>
      <w:tabs>
        <w:tab w:val="center" w:pos="4680"/>
        <w:tab w:val="right" w:pos="9360"/>
      </w:tabs>
    </w:pPr>
  </w:style>
  <w:style w:type="paragraph" w:styleId="4">
    <w:name w:val="header"/>
    <w:basedOn w:val="1"/>
    <w:link w:val="8"/>
    <w:unhideWhenUsed/>
    <w:qFormat/>
    <w:uiPriority w:val="99"/>
    <w:pPr>
      <w:tabs>
        <w:tab w:val="center" w:pos="4680"/>
        <w:tab w:val="right" w:pos="9360"/>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5"/>
    <w:link w:val="4"/>
    <w:qFormat/>
    <w:uiPriority w:val="99"/>
  </w:style>
  <w:style w:type="character" w:customStyle="1" w:styleId="9">
    <w:name w:val="Footer Char"/>
    <w:basedOn w:val="5"/>
    <w:link w:val="3"/>
    <w:qFormat/>
    <w:uiPriority w:val="99"/>
  </w:style>
  <w:style w:type="character" w:customStyle="1" w:styleId="10">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Words>
  <Characters>482</Characters>
  <Lines>2</Lines>
  <Paragraphs>1</Paragraphs>
  <ScaleCrop>false</ScaleCrop>
  <LinksUpToDate>false</LinksUpToDate>
  <CharactersWithSpaces>587</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2020-09-12T05:09:00Z</dcterms:created>
  <dc:creator>Microsoft Office User</dc:creator>
  <cp:lastModifiedBy>devteam</cp:lastModifiedBy>
  <cp:lastPrinted>2020-09-12T05:09:00Z</cp:lastPrinted>
  <dcterms:modified xsi:type="dcterms:W3CDTF">2022-04-11T16:26:35Z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ICV">
    <vt:lpwstr>A135D0045018430697DEA5153DC357BF</vt:lpwstr>
  </property>
</Properties>
</file>