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72"/>
          <w:szCs w:val="7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 xml:space="preserve">   </w:t>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ab/>
      </w:r>
      <w:r>
        <w:rPr>
          <w:color w:val="A6A6A6" w:themeColor="background1" w:themeShade="A6"/>
          <w:sz w:val="22"/>
          <w:szCs w:val="22"/>
        </w:rPr>
        <w:t xml:space="preserve">             </w:t>
      </w:r>
      <w:r>
        <w:rPr>
          <w:b/>
          <w:color w:val="A6A6A6" w:themeColor="background1" w:themeShade="A6"/>
          <w:sz w:val="72"/>
          <w:szCs w:val="72"/>
        </w:rPr>
        <w:t>Invoice</w:t>
      </w:r>
    </w:p>
    <w:p>
      <w:pPr>
        <w:rPr>
          <w:sz w:val="22"/>
          <w:szCs w:val="22"/>
        </w:rPr>
      </w:pPr>
    </w:p>
    <w:p>
      <w:pPr>
        <w:rPr>
          <w:rFonts w:hint="default" w:ascii="Helvetica" w:hAnsi="Helvetica" w:cs="Helvetica"/>
          <w:b/>
          <w:color w:val="000000"/>
          <w:sz w:val="22"/>
          <w:szCs w:val="22"/>
          <w:lang w:val="en-US"/>
        </w:rPr>
      </w:pPr>
      <w:r>
        <w:rPr>
          <w:rFonts w:hint="default" w:ascii="Helvetica" w:hAnsi="Helvetica" w:cs="Helvetica"/>
          <w:b/>
          <w:color w:val="000000"/>
          <w:sz w:val="22"/>
          <w:szCs w:val="22"/>
          <w:lang w:val="en-US"/>
        </w:rPr>
        <w:t>Bai</w:t>
      </w:r>
      <w:r>
        <w:rPr>
          <w:rFonts w:ascii="Helvetica" w:hAnsi="Helvetica" w:cs="Helvetica"/>
          <w:b/>
          <w:color w:val="000000"/>
          <w:sz w:val="22"/>
          <w:szCs w:val="22"/>
        </w:rPr>
        <w:t xml:space="preserve"> </w:t>
      </w:r>
      <w:r>
        <w:rPr>
          <w:rFonts w:hint="default" w:ascii="Helvetica" w:hAnsi="Helvetica" w:cs="Helvetica"/>
          <w:b/>
          <w:color w:val="000000"/>
          <w:sz w:val="22"/>
          <w:szCs w:val="22"/>
          <w:lang w:val="en-US"/>
        </w:rPr>
        <w:t>Feng</w:t>
      </w:r>
    </w:p>
    <w:tbl>
      <w:tblPr>
        <w:tblStyle w:val="7"/>
        <w:tblpPr w:leftFromText="180" w:rightFromText="180" w:vertAnchor="text" w:horzAnchor="margin" w:tblpXSpec="right" w:tblpY="-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0"/>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trPr>
        <w:tc>
          <w:tcPr>
            <w:tcW w:w="1890" w:type="dxa"/>
          </w:tcPr>
          <w:p>
            <w:pPr>
              <w:rPr>
                <w:sz w:val="22"/>
                <w:szCs w:val="22"/>
              </w:rPr>
            </w:pPr>
            <w:r>
              <w:rPr>
                <w:sz w:val="22"/>
                <w:szCs w:val="22"/>
              </w:rPr>
              <w:t>Invoice number</w:t>
            </w:r>
          </w:p>
        </w:tc>
        <w:tc>
          <w:tcPr>
            <w:tcW w:w="1435" w:type="dxa"/>
          </w:tcPr>
          <w:p>
            <w:pPr>
              <w:rPr>
                <w:rFonts w:hint="default"/>
                <w:sz w:val="22"/>
                <w:szCs w:val="22"/>
              </w:rPr>
            </w:pPr>
            <w:r>
              <w:rPr>
                <w:sz w:val="22"/>
                <w:szCs w:val="22"/>
              </w:rPr>
              <w:t>0</w:t>
            </w:r>
            <w:r>
              <w:rPr>
                <w:rFonts w:hint="default"/>
                <w:sz w:val="22"/>
                <w:szCs w:val="22"/>
                <w:lang w:val="en-US"/>
              </w:rPr>
              <w:t>1</w:t>
            </w:r>
            <w:r>
              <w:rPr>
                <w:rFonts w:hint="default"/>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tcPr>
          <w:p>
            <w:pPr>
              <w:rPr>
                <w:sz w:val="22"/>
                <w:szCs w:val="22"/>
              </w:rPr>
            </w:pPr>
            <w:r>
              <w:rPr>
                <w:sz w:val="22"/>
                <w:szCs w:val="22"/>
              </w:rPr>
              <w:t>Invoice Date</w:t>
            </w:r>
          </w:p>
        </w:tc>
        <w:tc>
          <w:tcPr>
            <w:tcW w:w="1435" w:type="dxa"/>
          </w:tcPr>
          <w:p>
            <w:pPr>
              <w:rPr>
                <w:rFonts w:hint="default"/>
                <w:sz w:val="22"/>
                <w:szCs w:val="22"/>
                <w:lang w:val="en-US"/>
              </w:rPr>
            </w:pPr>
            <w:r>
              <w:rPr>
                <w:rFonts w:hint="default"/>
                <w:sz w:val="22"/>
                <w:szCs w:val="22"/>
              </w:rPr>
              <w:t>6</w:t>
            </w:r>
            <w:r>
              <w:rPr>
                <w:sz w:val="22"/>
                <w:szCs w:val="22"/>
              </w:rPr>
              <w:t>/</w:t>
            </w:r>
            <w:r>
              <w:rPr>
                <w:rFonts w:hint="default"/>
                <w:sz w:val="22"/>
                <w:szCs w:val="22"/>
              </w:rPr>
              <w:t>13</w:t>
            </w:r>
            <w:r>
              <w:rPr>
                <w:sz w:val="22"/>
                <w:szCs w:val="22"/>
              </w:rPr>
              <w:t>/202</w:t>
            </w:r>
            <w:r>
              <w:rPr>
                <w:rFonts w:hint="default"/>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tcPr>
          <w:p>
            <w:pPr>
              <w:rPr>
                <w:sz w:val="22"/>
                <w:szCs w:val="22"/>
              </w:rPr>
            </w:pPr>
            <w:r>
              <w:rPr>
                <w:sz w:val="22"/>
                <w:szCs w:val="22"/>
              </w:rPr>
              <w:t>Due date</w:t>
            </w:r>
          </w:p>
        </w:tc>
        <w:tc>
          <w:tcPr>
            <w:tcW w:w="1435" w:type="dxa"/>
          </w:tcPr>
          <w:p>
            <w:pPr>
              <w:rPr>
                <w:rFonts w:hint="default"/>
                <w:sz w:val="22"/>
                <w:szCs w:val="22"/>
                <w:lang w:val="en-US"/>
              </w:rPr>
            </w:pPr>
            <w:r>
              <w:rPr>
                <w:rFonts w:hint="default"/>
                <w:sz w:val="22"/>
                <w:szCs w:val="22"/>
              </w:rPr>
              <w:t>6</w:t>
            </w:r>
            <w:r>
              <w:rPr>
                <w:sz w:val="22"/>
                <w:szCs w:val="22"/>
              </w:rPr>
              <w:t>/</w:t>
            </w:r>
            <w:r>
              <w:rPr>
                <w:rFonts w:hint="default"/>
                <w:sz w:val="22"/>
                <w:szCs w:val="22"/>
              </w:rPr>
              <w:t>13</w:t>
            </w:r>
            <w:r>
              <w:rPr>
                <w:sz w:val="22"/>
                <w:szCs w:val="22"/>
              </w:rPr>
              <w:t>/202</w:t>
            </w:r>
            <w:r>
              <w:rPr>
                <w:rFonts w:hint="default"/>
                <w:sz w:val="22"/>
                <w:szCs w:val="22"/>
                <w:lang w:val="en-US"/>
              </w:rPr>
              <w:t>2</w:t>
            </w:r>
          </w:p>
        </w:tc>
      </w:tr>
    </w:tbl>
    <w:p>
      <w:pPr>
        <w:rPr>
          <w:rFonts w:ascii="Helvetica" w:hAnsi="Helvetica" w:cs="Helvetica"/>
          <w:color w:val="000000"/>
          <w:sz w:val="22"/>
          <w:szCs w:val="22"/>
        </w:rPr>
      </w:pP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Chizhequ Beier</w:t>
      </w:r>
      <w:r>
        <w:rPr>
          <w:rFonts w:ascii="Helvetica" w:hAnsi="Helvetica" w:cs="Helvetica"/>
          <w:color w:val="000000"/>
          <w:sz w:val="22"/>
          <w:szCs w:val="22"/>
        </w:rPr>
        <w:t xml:space="preserve"> 8</w:t>
      </w:r>
      <w:r>
        <w:rPr>
          <w:rFonts w:hint="default" w:ascii="Helvetica" w:hAnsi="Helvetica" w:cs="Helvetica"/>
          <w:color w:val="000000"/>
          <w:sz w:val="22"/>
          <w:szCs w:val="22"/>
          <w:lang w:val="en-US"/>
        </w:rPr>
        <w:t xml:space="preserve"> </w:t>
      </w:r>
      <w:r>
        <w:rPr>
          <w:rFonts w:ascii="Helvetica" w:hAnsi="Helvetica" w:cs="Helvetica"/>
          <w:color w:val="000000"/>
          <w:sz w:val="22"/>
          <w:szCs w:val="22"/>
        </w:rPr>
        <w:t>#</w:t>
      </w:r>
      <w:r>
        <w:rPr>
          <w:rFonts w:hint="default" w:ascii="Helvetica" w:hAnsi="Helvetica" w:cs="Helvetica"/>
          <w:color w:val="000000"/>
          <w:sz w:val="22"/>
          <w:szCs w:val="22"/>
          <w:lang w:val="en-US"/>
        </w:rPr>
        <w:t>0601</w:t>
      </w:r>
    </w:p>
    <w:p>
      <w:pPr>
        <w:rPr>
          <w:rFonts w:ascii="Helvetica" w:hAnsi="Helvetica" w:cs="Helvetica"/>
          <w:color w:val="000000"/>
          <w:sz w:val="22"/>
          <w:szCs w:val="22"/>
        </w:rPr>
      </w:pPr>
      <w:r>
        <w:rPr>
          <w:rFonts w:hint="default" w:ascii="Helvetica" w:hAnsi="Helvetica" w:cs="Helvetica"/>
          <w:color w:val="000000"/>
          <w:sz w:val="22"/>
          <w:szCs w:val="22"/>
          <w:lang w:val="en-US"/>
        </w:rPr>
        <w:t>Shenyang</w:t>
      </w:r>
      <w:r>
        <w:rPr>
          <w:rFonts w:ascii="Helvetica" w:hAnsi="Helvetica" w:cs="Helvetica"/>
          <w:color w:val="000000"/>
          <w:sz w:val="22"/>
          <w:szCs w:val="22"/>
        </w:rPr>
        <w:t>shi Liaoningsheng  China</w:t>
      </w:r>
      <w:r>
        <w:rPr>
          <w:rFonts w:ascii="Helvetica" w:hAnsi="Helvetica" w:cs="Helvetica"/>
          <w:color w:val="000000"/>
          <w:sz w:val="22"/>
          <w:szCs w:val="22"/>
        </w:rPr>
        <w:br w:type="textWrapping"/>
      </w:r>
    </w:p>
    <w:p>
      <w:pPr>
        <w:rPr>
          <w:rFonts w:hint="default" w:ascii="Helvetica" w:hAnsi="Helvetica" w:cs="Helvetica"/>
          <w:color w:val="000000"/>
          <w:sz w:val="22"/>
          <w:szCs w:val="22"/>
          <w:lang w:val="en-US"/>
        </w:rPr>
      </w:pPr>
      <w:r>
        <w:rPr>
          <w:rFonts w:hint="default" w:ascii="Helvetica" w:hAnsi="Helvetica" w:cs="Helvetica"/>
          <w:color w:val="000000"/>
          <w:sz w:val="22"/>
          <w:szCs w:val="22"/>
          <w:lang w:val="en-US"/>
        </w:rPr>
        <w:t xml:space="preserve">Paypal Email: </w:t>
      </w:r>
      <w:r>
        <w:rPr>
          <w:rFonts w:hint="default" w:ascii="Helvetica" w:hAnsi="Helvetica"/>
          <w:color w:val="000000"/>
          <w:sz w:val="22"/>
          <w:szCs w:val="22"/>
          <w:lang w:val="en-US"/>
        </w:rPr>
        <w:t>shsb.ceo@outlook.com</w:t>
      </w:r>
    </w:p>
    <w:p>
      <w:pPr>
        <w:rPr>
          <w:sz w:val="22"/>
          <w:szCs w:val="22"/>
        </w:rPr>
      </w:pPr>
    </w:p>
    <w:p>
      <w:pPr>
        <w:rPr>
          <w:sz w:val="22"/>
          <w:szCs w:val="22"/>
        </w:rPr>
      </w:pPr>
    </w:p>
    <w:p>
      <w:pPr>
        <w:rPr>
          <w:b/>
          <w:sz w:val="22"/>
          <w:szCs w:val="22"/>
        </w:rPr>
      </w:pPr>
      <w:r>
        <w:rPr>
          <w:b/>
          <w:sz w:val="22"/>
          <w:szCs w:val="22"/>
        </w:rPr>
        <w:t>Bill To</w:t>
      </w:r>
    </w:p>
    <w:p>
      <w:pPr>
        <w:rPr>
          <w:b/>
          <w:sz w:val="22"/>
          <w:szCs w:val="22"/>
        </w:rPr>
      </w:pPr>
    </w:p>
    <w:p>
      <w:pPr>
        <w:rPr>
          <w:sz w:val="22"/>
          <w:szCs w:val="22"/>
        </w:rPr>
      </w:pPr>
      <w:r>
        <w:rPr>
          <w:sz w:val="22"/>
          <w:szCs w:val="22"/>
        </w:rPr>
        <w:t>Risk Factor SLU</w:t>
      </w:r>
    </w:p>
    <w:p>
      <w:pPr>
        <w:rPr>
          <w:rFonts w:hint="default"/>
          <w:sz w:val="22"/>
          <w:szCs w:val="22"/>
          <w:lang w:val="en-US"/>
        </w:rPr>
      </w:pPr>
      <w:r>
        <w:rPr>
          <w:rFonts w:hint="default"/>
          <w:sz w:val="22"/>
          <w:szCs w:val="22"/>
        </w:rPr>
        <w:t>Av. Dr Mitjavila 5, 3 - 105</w:t>
      </w:r>
    </w:p>
    <w:p>
      <w:pPr>
        <w:rPr>
          <w:rFonts w:hint="default"/>
          <w:sz w:val="22"/>
          <w:szCs w:val="22"/>
        </w:rPr>
      </w:pPr>
      <w:r>
        <w:rPr>
          <w:rFonts w:hint="default"/>
          <w:sz w:val="22"/>
          <w:szCs w:val="22"/>
        </w:rPr>
        <w:t>Ed BOMOSA - Alba</w:t>
      </w:r>
      <w:bookmarkStart w:id="0" w:name="_GoBack"/>
      <w:bookmarkEnd w:id="0"/>
    </w:p>
    <w:p>
      <w:pPr>
        <w:rPr>
          <w:rFonts w:hint="default"/>
          <w:sz w:val="22"/>
          <w:szCs w:val="22"/>
        </w:rPr>
      </w:pPr>
      <w:r>
        <w:rPr>
          <w:rFonts w:hint="default"/>
          <w:sz w:val="22"/>
          <w:szCs w:val="22"/>
        </w:rPr>
        <w:t>AD500 Andorra la Vella, Andorra</w:t>
      </w:r>
    </w:p>
    <w:p>
      <w:pPr>
        <w:rPr>
          <w:sz w:val="22"/>
          <w:szCs w:val="22"/>
        </w:rPr>
      </w:pPr>
      <w:r>
        <w:rPr>
          <w:rFonts w:hint="default"/>
          <w:sz w:val="22"/>
          <w:szCs w:val="22"/>
          <w:lang w:val="en-US"/>
        </w:rPr>
        <w:t>NRT L-716059-J</w:t>
      </w:r>
    </w:p>
    <w:p>
      <w:pPr>
        <w:rPr>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2"/>
        <w:gridCol w:w="1278"/>
        <w:gridCol w:w="980"/>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2" w:type="dxa"/>
          </w:tcPr>
          <w:p>
            <w:pPr>
              <w:jc w:val="center"/>
              <w:rPr>
                <w:b/>
                <w:sz w:val="22"/>
                <w:szCs w:val="22"/>
              </w:rPr>
            </w:pPr>
            <w:r>
              <w:rPr>
                <w:b/>
                <w:sz w:val="22"/>
                <w:szCs w:val="22"/>
              </w:rPr>
              <w:t>Description</w:t>
            </w:r>
          </w:p>
        </w:tc>
        <w:tc>
          <w:tcPr>
            <w:tcW w:w="1278" w:type="dxa"/>
          </w:tcPr>
          <w:p>
            <w:pPr>
              <w:jc w:val="center"/>
              <w:rPr>
                <w:b/>
                <w:sz w:val="22"/>
                <w:szCs w:val="22"/>
              </w:rPr>
            </w:pPr>
            <w:r>
              <w:rPr>
                <w:b/>
                <w:sz w:val="22"/>
                <w:szCs w:val="22"/>
              </w:rPr>
              <w:t>Period</w:t>
            </w:r>
          </w:p>
        </w:tc>
        <w:tc>
          <w:tcPr>
            <w:tcW w:w="980" w:type="dxa"/>
          </w:tcPr>
          <w:p>
            <w:pPr>
              <w:jc w:val="center"/>
              <w:rPr>
                <w:b/>
                <w:sz w:val="22"/>
                <w:szCs w:val="22"/>
              </w:rPr>
            </w:pPr>
            <w:r>
              <w:rPr>
                <w:b/>
                <w:sz w:val="22"/>
                <w:szCs w:val="22"/>
              </w:rPr>
              <w:t>Hours</w:t>
            </w:r>
          </w:p>
        </w:tc>
        <w:tc>
          <w:tcPr>
            <w:tcW w:w="1320" w:type="dxa"/>
          </w:tcPr>
          <w:p>
            <w:pPr>
              <w:jc w:val="center"/>
              <w:rPr>
                <w:b/>
                <w:sz w:val="22"/>
                <w:szCs w:val="22"/>
              </w:rPr>
            </w:pPr>
            <w:r>
              <w:rPr>
                <w:b/>
                <w:sz w:val="22"/>
                <w:szCs w:val="22"/>
              </w:rPr>
              <w:t>Price</w:t>
            </w:r>
          </w:p>
        </w:tc>
        <w:tc>
          <w:tcPr>
            <w:tcW w:w="1320" w:type="dxa"/>
          </w:tcPr>
          <w:p>
            <w:pPr>
              <w:jc w:val="center"/>
              <w:rPr>
                <w:b/>
                <w:sz w:val="22"/>
                <w:szCs w:val="22"/>
              </w:rPr>
            </w:pPr>
            <w:r>
              <w:rPr>
                <w:b/>
                <w:sz w:val="22"/>
                <w:szCs w:val="22"/>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2" w:type="dxa"/>
          </w:tcPr>
          <w:p>
            <w:pPr>
              <w:rPr>
                <w:rFonts w:hint="default"/>
                <w:sz w:val="22"/>
                <w:szCs w:val="22"/>
              </w:rPr>
            </w:pPr>
            <w:r>
              <w:rPr>
                <w:rFonts w:hint="default"/>
                <w:sz w:val="22"/>
                <w:szCs w:val="22"/>
              </w:rPr>
              <w:t>Preview panel for response plan, Alert Editor, Dynamic object Trace, opening an object popup window will reset inluence zone filter list, Tenant settings - logo, error creating a new response plan, turning off objects triggers search, user manager tab, number widget, Increase background opacity of admin panel, sort grid sets by alphabetical order, Dragging the window drags the map</w:t>
            </w:r>
          </w:p>
        </w:tc>
        <w:tc>
          <w:tcPr>
            <w:tcW w:w="1278" w:type="dxa"/>
          </w:tcPr>
          <w:p>
            <w:pPr>
              <w:jc w:val="center"/>
              <w:rPr>
                <w:sz w:val="22"/>
                <w:szCs w:val="22"/>
              </w:rPr>
            </w:pPr>
            <w:r>
              <w:rPr>
                <w:rFonts w:hint="default"/>
                <w:sz w:val="22"/>
                <w:szCs w:val="22"/>
              </w:rPr>
              <w:t>6</w:t>
            </w:r>
            <w:r>
              <w:rPr>
                <w:rFonts w:hint="default"/>
                <w:sz w:val="22"/>
                <w:szCs w:val="22"/>
              </w:rPr>
              <w:t>/</w:t>
            </w:r>
            <w:r>
              <w:rPr>
                <w:rFonts w:hint="default"/>
                <w:sz w:val="22"/>
                <w:szCs w:val="22"/>
              </w:rPr>
              <w:t>6</w:t>
            </w:r>
            <w:r>
              <w:rPr>
                <w:sz w:val="22"/>
                <w:szCs w:val="22"/>
              </w:rPr>
              <w:t>/202</w:t>
            </w:r>
            <w:r>
              <w:rPr>
                <w:rFonts w:hint="default"/>
                <w:sz w:val="22"/>
                <w:szCs w:val="22"/>
              </w:rPr>
              <w:t>2</w:t>
            </w:r>
          </w:p>
          <w:p>
            <w:pPr>
              <w:jc w:val="center"/>
              <w:rPr>
                <w:sz w:val="22"/>
                <w:szCs w:val="22"/>
              </w:rPr>
            </w:pPr>
            <w:r>
              <w:rPr>
                <w:sz w:val="22"/>
                <w:szCs w:val="22"/>
              </w:rPr>
              <w:t>To</w:t>
            </w:r>
          </w:p>
          <w:p>
            <w:pPr>
              <w:jc w:val="center"/>
              <w:rPr>
                <w:sz w:val="22"/>
                <w:szCs w:val="22"/>
              </w:rPr>
            </w:pPr>
            <w:r>
              <w:rPr>
                <w:rFonts w:hint="default"/>
                <w:sz w:val="22"/>
                <w:szCs w:val="22"/>
              </w:rPr>
              <w:t>6</w:t>
            </w:r>
            <w:r>
              <w:rPr>
                <w:sz w:val="22"/>
                <w:szCs w:val="22"/>
              </w:rPr>
              <w:t>/</w:t>
            </w:r>
            <w:r>
              <w:rPr>
                <w:rFonts w:hint="default"/>
                <w:sz w:val="22"/>
                <w:szCs w:val="22"/>
              </w:rPr>
              <w:t>12</w:t>
            </w:r>
            <w:r>
              <w:rPr>
                <w:sz w:val="22"/>
                <w:szCs w:val="22"/>
              </w:rPr>
              <w:t>/202</w:t>
            </w:r>
            <w:r>
              <w:rPr>
                <w:rFonts w:hint="default"/>
                <w:sz w:val="22"/>
                <w:szCs w:val="22"/>
                <w:lang w:val="en-US"/>
              </w:rPr>
              <w:t>2</w:t>
            </w:r>
          </w:p>
        </w:tc>
        <w:tc>
          <w:tcPr>
            <w:tcW w:w="980" w:type="dxa"/>
          </w:tcPr>
          <w:p>
            <w:pPr>
              <w:jc w:val="center"/>
              <w:rPr>
                <w:rFonts w:hint="default"/>
                <w:sz w:val="22"/>
                <w:szCs w:val="22"/>
              </w:rPr>
            </w:pPr>
            <w:r>
              <w:rPr>
                <w:rFonts w:hint="default"/>
                <w:sz w:val="22"/>
                <w:szCs w:val="22"/>
              </w:rPr>
              <w:t>41</w:t>
            </w:r>
          </w:p>
        </w:tc>
        <w:tc>
          <w:tcPr>
            <w:tcW w:w="1320" w:type="dxa"/>
          </w:tcPr>
          <w:p>
            <w:pPr>
              <w:jc w:val="center"/>
              <w:rPr>
                <w:sz w:val="22"/>
                <w:szCs w:val="22"/>
              </w:rPr>
            </w:pPr>
            <w:r>
              <w:rPr>
                <w:rFonts w:hint="default"/>
                <w:sz w:val="22"/>
                <w:szCs w:val="22"/>
                <w:lang w:val="en-US"/>
              </w:rPr>
              <w:t>$4</w:t>
            </w:r>
            <w:r>
              <w:rPr>
                <w:sz w:val="22"/>
                <w:szCs w:val="22"/>
              </w:rPr>
              <w:t>0</w:t>
            </w:r>
          </w:p>
        </w:tc>
        <w:tc>
          <w:tcPr>
            <w:tcW w:w="1320" w:type="dxa"/>
          </w:tcPr>
          <w:p>
            <w:pPr>
              <w:jc w:val="center"/>
              <w:rPr>
                <w:rFonts w:hint="default"/>
                <w:sz w:val="22"/>
                <w:szCs w:val="22"/>
              </w:rPr>
            </w:pPr>
            <w:r>
              <w:rPr>
                <w:rFonts w:hint="default"/>
                <w:sz w:val="22"/>
                <w:szCs w:val="22"/>
                <w:lang w:val="en-US"/>
              </w:rPr>
              <w:t>$</w:t>
            </w:r>
            <w:r>
              <w:rPr>
                <w:rFonts w:hint="default"/>
                <w:sz w:val="22"/>
                <w:szCs w:val="22"/>
              </w:rPr>
              <w:t>1640</w:t>
            </w:r>
          </w:p>
        </w:tc>
      </w:tr>
    </w:tbl>
    <w:p>
      <w:pPr>
        <w:ind w:left="4320" w:firstLine="720"/>
        <w:rPr>
          <w:sz w:val="22"/>
          <w:szCs w:val="22"/>
        </w:rPr>
      </w:pPr>
    </w:p>
    <w:p>
      <w:pPr>
        <w:ind w:left="4320" w:firstLine="720"/>
        <w:rPr>
          <w:rFonts w:hint="default"/>
          <w:sz w:val="22"/>
          <w:szCs w:val="22"/>
        </w:rPr>
      </w:pPr>
      <w:r>
        <w:rPr>
          <w:sz w:val="22"/>
          <w:szCs w:val="22"/>
        </w:rPr>
        <w:tab/>
      </w:r>
      <w:r>
        <w:rPr>
          <w:sz w:val="22"/>
          <w:szCs w:val="22"/>
        </w:rPr>
        <w:tab/>
      </w:r>
      <w:r>
        <w:rPr>
          <w:sz w:val="22"/>
          <w:szCs w:val="22"/>
        </w:rPr>
        <w:tab/>
      </w:r>
      <w:r>
        <w:rPr>
          <w:sz w:val="22"/>
          <w:szCs w:val="22"/>
        </w:rPr>
        <w:tab/>
      </w:r>
      <w:r>
        <w:rPr>
          <w:sz w:val="22"/>
          <w:szCs w:val="22"/>
        </w:rPr>
        <w:t xml:space="preserve">          </w:t>
      </w:r>
      <w:r>
        <w:rPr>
          <w:rFonts w:hint="default"/>
          <w:sz w:val="22"/>
          <w:szCs w:val="22"/>
          <w:lang w:val="en-US"/>
        </w:rPr>
        <w:t>$</w:t>
      </w:r>
      <w:r>
        <w:rPr>
          <w:rFonts w:hint="default"/>
          <w:sz w:val="22"/>
          <w:szCs w:val="22"/>
        </w:rPr>
        <w:t>1640</w:t>
      </w:r>
    </w:p>
    <w:p>
      <w:pPr>
        <w:ind w:left="4320" w:firstLine="720"/>
        <w:rPr>
          <w:rFonts w:hint="default"/>
          <w:sz w:val="22"/>
          <w:szCs w:val="22"/>
          <w:lang w:val="en-US"/>
        </w:rPr>
      </w:pPr>
    </w:p>
    <w:p>
      <w:pPr>
        <w:ind w:left="4320" w:firstLine="720"/>
        <w:rPr>
          <w:sz w:val="22"/>
          <w:szCs w:val="22"/>
        </w:rPr>
      </w:pPr>
    </w:p>
    <w:p>
      <w:pPr>
        <w:ind w:left="4320" w:firstLine="720"/>
        <w:rPr>
          <w:sz w:val="22"/>
          <w:szCs w:val="22"/>
        </w:rPr>
      </w:pPr>
    </w:p>
    <w:p>
      <w:pPr>
        <w:ind w:left="5760" w:firstLine="720"/>
        <w:rPr>
          <w:sz w:val="22"/>
          <w:szCs w:val="22"/>
        </w:rPr>
      </w:pPr>
      <w:r>
        <w:rPr>
          <w:sz w:val="22"/>
          <w:szCs w:val="22"/>
        </w:rPr>
        <w:drawing>
          <wp:inline distT="0" distB="0" distL="114300" distR="114300">
            <wp:extent cx="1385570" cy="456565"/>
            <wp:effectExtent l="0" t="0" r="5080" b="635"/>
            <wp:docPr id="3" name="Picture 3" descr="IMG_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0460"/>
                    <pic:cNvPicPr>
                      <a:picLocks noChangeAspect="1"/>
                    </pic:cNvPicPr>
                  </pic:nvPicPr>
                  <pic:blipFill>
                    <a:blip r:embed="rId4"/>
                    <a:stretch>
                      <a:fillRect/>
                    </a:stretch>
                  </pic:blipFill>
                  <pic:spPr>
                    <a:xfrm>
                      <a:off x="0" y="0"/>
                      <a:ext cx="1385570" cy="45656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B3"/>
    <w:rsid w:val="001326BE"/>
    <w:rsid w:val="001B3EC4"/>
    <w:rsid w:val="001B6473"/>
    <w:rsid w:val="001E0448"/>
    <w:rsid w:val="00216BDB"/>
    <w:rsid w:val="002E5393"/>
    <w:rsid w:val="0033441A"/>
    <w:rsid w:val="0039716B"/>
    <w:rsid w:val="004A1455"/>
    <w:rsid w:val="00530FC1"/>
    <w:rsid w:val="0054254B"/>
    <w:rsid w:val="00622294"/>
    <w:rsid w:val="007023D7"/>
    <w:rsid w:val="0085583B"/>
    <w:rsid w:val="00856AED"/>
    <w:rsid w:val="008F2F03"/>
    <w:rsid w:val="009842BC"/>
    <w:rsid w:val="009F08C4"/>
    <w:rsid w:val="00AD6879"/>
    <w:rsid w:val="00AE28CA"/>
    <w:rsid w:val="00B2727C"/>
    <w:rsid w:val="00B36362"/>
    <w:rsid w:val="00B545D6"/>
    <w:rsid w:val="00BE0AEB"/>
    <w:rsid w:val="00CD0049"/>
    <w:rsid w:val="00DE7AAC"/>
    <w:rsid w:val="00E64FB3"/>
    <w:rsid w:val="00E915C5"/>
    <w:rsid w:val="00EE25D8"/>
    <w:rsid w:val="00F15793"/>
    <w:rsid w:val="00FD3372"/>
    <w:rsid w:val="01B71466"/>
    <w:rsid w:val="0275596F"/>
    <w:rsid w:val="02AA10A5"/>
    <w:rsid w:val="034813C3"/>
    <w:rsid w:val="037E24F0"/>
    <w:rsid w:val="041975D4"/>
    <w:rsid w:val="04317064"/>
    <w:rsid w:val="07692512"/>
    <w:rsid w:val="079F2693"/>
    <w:rsid w:val="0991102B"/>
    <w:rsid w:val="0B7711C4"/>
    <w:rsid w:val="0E931C81"/>
    <w:rsid w:val="0EAF69BF"/>
    <w:rsid w:val="0FFF441E"/>
    <w:rsid w:val="126D4514"/>
    <w:rsid w:val="135A5C33"/>
    <w:rsid w:val="13857C39"/>
    <w:rsid w:val="14587612"/>
    <w:rsid w:val="15040858"/>
    <w:rsid w:val="16996A82"/>
    <w:rsid w:val="175565AC"/>
    <w:rsid w:val="18020AED"/>
    <w:rsid w:val="1838214A"/>
    <w:rsid w:val="187F0C67"/>
    <w:rsid w:val="18CB1A09"/>
    <w:rsid w:val="19633513"/>
    <w:rsid w:val="1B713312"/>
    <w:rsid w:val="1BAD6350"/>
    <w:rsid w:val="1BD26674"/>
    <w:rsid w:val="1F493218"/>
    <w:rsid w:val="20EE7DDB"/>
    <w:rsid w:val="222F3E0E"/>
    <w:rsid w:val="23755DD6"/>
    <w:rsid w:val="23851EDD"/>
    <w:rsid w:val="23F96DFF"/>
    <w:rsid w:val="25EA3459"/>
    <w:rsid w:val="26E320B0"/>
    <w:rsid w:val="27D91D1E"/>
    <w:rsid w:val="289B254F"/>
    <w:rsid w:val="2B0D29AA"/>
    <w:rsid w:val="2D2A6D07"/>
    <w:rsid w:val="2D5E040F"/>
    <w:rsid w:val="2EEA4D0F"/>
    <w:rsid w:val="2EEFDE38"/>
    <w:rsid w:val="2EFE4B56"/>
    <w:rsid w:val="3063501C"/>
    <w:rsid w:val="31993DE1"/>
    <w:rsid w:val="323D1E79"/>
    <w:rsid w:val="32496C6F"/>
    <w:rsid w:val="334E513D"/>
    <w:rsid w:val="33DE0B47"/>
    <w:rsid w:val="347D232A"/>
    <w:rsid w:val="34CB522D"/>
    <w:rsid w:val="34D638FF"/>
    <w:rsid w:val="3505674C"/>
    <w:rsid w:val="358E5E9B"/>
    <w:rsid w:val="35A5434E"/>
    <w:rsid w:val="35F7CDFB"/>
    <w:rsid w:val="36924921"/>
    <w:rsid w:val="39B119C4"/>
    <w:rsid w:val="3A79533F"/>
    <w:rsid w:val="3A7C321B"/>
    <w:rsid w:val="3B1C272F"/>
    <w:rsid w:val="3B2161D6"/>
    <w:rsid w:val="3B2E7EEB"/>
    <w:rsid w:val="3C4705E8"/>
    <w:rsid w:val="3CE0473E"/>
    <w:rsid w:val="3D4E1919"/>
    <w:rsid w:val="3DD16940"/>
    <w:rsid w:val="3E763FE9"/>
    <w:rsid w:val="3F0D0C5A"/>
    <w:rsid w:val="3FAF2A7F"/>
    <w:rsid w:val="421F3092"/>
    <w:rsid w:val="430D2E96"/>
    <w:rsid w:val="45230DC1"/>
    <w:rsid w:val="463372D9"/>
    <w:rsid w:val="49246B12"/>
    <w:rsid w:val="49F805AE"/>
    <w:rsid w:val="4A7675DA"/>
    <w:rsid w:val="4C7F0CC4"/>
    <w:rsid w:val="4D6F348C"/>
    <w:rsid w:val="4FCD4190"/>
    <w:rsid w:val="50F0061D"/>
    <w:rsid w:val="52376D97"/>
    <w:rsid w:val="56305132"/>
    <w:rsid w:val="5673359B"/>
    <w:rsid w:val="56DF60D8"/>
    <w:rsid w:val="578E150D"/>
    <w:rsid w:val="583A64EE"/>
    <w:rsid w:val="58651359"/>
    <w:rsid w:val="5869049E"/>
    <w:rsid w:val="588B4CDF"/>
    <w:rsid w:val="58B0119E"/>
    <w:rsid w:val="599E3F2C"/>
    <w:rsid w:val="5A590711"/>
    <w:rsid w:val="5AE0697D"/>
    <w:rsid w:val="5AEC61E4"/>
    <w:rsid w:val="5C5928A4"/>
    <w:rsid w:val="5D5C4A3C"/>
    <w:rsid w:val="5F7FB50B"/>
    <w:rsid w:val="5FEB18BB"/>
    <w:rsid w:val="60653998"/>
    <w:rsid w:val="62504EB5"/>
    <w:rsid w:val="62E0358A"/>
    <w:rsid w:val="63745013"/>
    <w:rsid w:val="63C775D8"/>
    <w:rsid w:val="66092599"/>
    <w:rsid w:val="6672D88E"/>
    <w:rsid w:val="66B0188B"/>
    <w:rsid w:val="66D74220"/>
    <w:rsid w:val="686F5E94"/>
    <w:rsid w:val="695757BB"/>
    <w:rsid w:val="69987045"/>
    <w:rsid w:val="69E13572"/>
    <w:rsid w:val="6BFC2E5F"/>
    <w:rsid w:val="6CEE34EE"/>
    <w:rsid w:val="6CFC0B79"/>
    <w:rsid w:val="6DE57D1E"/>
    <w:rsid w:val="6DFF2363"/>
    <w:rsid w:val="6F130BD9"/>
    <w:rsid w:val="72584CCD"/>
    <w:rsid w:val="733C4D36"/>
    <w:rsid w:val="73CD47E9"/>
    <w:rsid w:val="742B3495"/>
    <w:rsid w:val="74450C05"/>
    <w:rsid w:val="74CA3152"/>
    <w:rsid w:val="76025DA7"/>
    <w:rsid w:val="76572BBB"/>
    <w:rsid w:val="765B210C"/>
    <w:rsid w:val="76E25DB2"/>
    <w:rsid w:val="777259F1"/>
    <w:rsid w:val="777F166D"/>
    <w:rsid w:val="77FC6630"/>
    <w:rsid w:val="79407A05"/>
    <w:rsid w:val="797BFC35"/>
    <w:rsid w:val="7A2F5F15"/>
    <w:rsid w:val="7B3FF28A"/>
    <w:rsid w:val="7B786D7C"/>
    <w:rsid w:val="7B8335F3"/>
    <w:rsid w:val="7BDFF6EF"/>
    <w:rsid w:val="7BF220FB"/>
    <w:rsid w:val="7C8A08B9"/>
    <w:rsid w:val="7E4C16A8"/>
    <w:rsid w:val="7E571568"/>
    <w:rsid w:val="7EAF8583"/>
    <w:rsid w:val="7ECC4179"/>
    <w:rsid w:val="7F5C5EE2"/>
    <w:rsid w:val="7F6F16AF"/>
    <w:rsid w:val="7F736A97"/>
    <w:rsid w:val="7FB41E6C"/>
    <w:rsid w:val="7FBF0F09"/>
    <w:rsid w:val="7FEEC715"/>
    <w:rsid w:val="7FEFAA8A"/>
    <w:rsid w:val="7FFE075B"/>
    <w:rsid w:val="9BF713B4"/>
    <w:rsid w:val="9EFD7A71"/>
    <w:rsid w:val="B2FE991E"/>
    <w:rsid w:val="B97FA2EA"/>
    <w:rsid w:val="BBEF790E"/>
    <w:rsid w:val="BFBF2221"/>
    <w:rsid w:val="CDEEA55E"/>
    <w:rsid w:val="CEFD9373"/>
    <w:rsid w:val="D7FB8D6C"/>
    <w:rsid w:val="DB1DF290"/>
    <w:rsid w:val="DFFD0A37"/>
    <w:rsid w:val="EF7FE8EA"/>
    <w:rsid w:val="F5F66A9B"/>
    <w:rsid w:val="F7EF5935"/>
    <w:rsid w:val="F97FA945"/>
    <w:rsid w:val="FD3DBA92"/>
    <w:rsid w:val="FD7DD337"/>
    <w:rsid w:val="FE8E1AA7"/>
    <w:rsid w:val="FEFF8AA3"/>
    <w:rsid w:val="FFD3987B"/>
    <w:rsid w:val="FFD863AB"/>
    <w:rsid w:val="FFFF67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alloon Text"/>
    <w:basedOn w:val="1"/>
    <w:link w:val="10"/>
    <w:unhideWhenUsed/>
    <w:qFormat/>
    <w:uiPriority w:val="99"/>
    <w:rPr>
      <w:rFonts w:ascii="Times New Roman" w:hAnsi="Times New Roman" w:cs="Times New Roman"/>
      <w:sz w:val="18"/>
      <w:szCs w:val="18"/>
    </w:rPr>
  </w:style>
  <w:style w:type="paragraph" w:styleId="5">
    <w:name w:val="footer"/>
    <w:basedOn w:val="1"/>
    <w:link w:val="9"/>
    <w:unhideWhenUsed/>
    <w:qFormat/>
    <w:uiPriority w:val="99"/>
    <w:pPr>
      <w:tabs>
        <w:tab w:val="center" w:pos="4680"/>
        <w:tab w:val="right" w:pos="9360"/>
      </w:tabs>
    </w:pPr>
  </w:style>
  <w:style w:type="paragraph" w:styleId="6">
    <w:name w:val="header"/>
    <w:basedOn w:val="1"/>
    <w:link w:val="8"/>
    <w:unhideWhenUsed/>
    <w:qFormat/>
    <w:uiPriority w:val="99"/>
    <w:pPr>
      <w:tabs>
        <w:tab w:val="center" w:pos="4680"/>
        <w:tab w:val="right" w:pos="9360"/>
      </w:tabs>
    </w:p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6"/>
    <w:qFormat/>
    <w:uiPriority w:val="99"/>
  </w:style>
  <w:style w:type="character" w:customStyle="1" w:styleId="9">
    <w:name w:val="Footer Char"/>
    <w:basedOn w:val="2"/>
    <w:link w:val="5"/>
    <w:qFormat/>
    <w:uiPriority w:val="99"/>
  </w:style>
  <w:style w:type="character" w:customStyle="1" w:styleId="10">
    <w:name w:val="Balloon Text Char"/>
    <w:basedOn w:val="2"/>
    <w:link w:val="4"/>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73</Words>
  <Characters>413</Characters>
  <Lines>2</Lines>
  <Paragraphs>1</Paragraphs>
  <TotalTime>4</TotalTime>
  <ScaleCrop>false</ScaleCrop>
  <LinksUpToDate>false</LinksUpToDate>
  <CharactersWithSpaces>509</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2020-09-10T13:09:00Z</dcterms:created>
  <dc:creator>Microsoft Office User</dc:creator>
  <cp:lastModifiedBy>WPS_1636385366</cp:lastModifiedBy>
  <cp:lastPrinted>2020-09-10T13:09:00Z</cp:lastPrinted>
  <dcterms:modified xsi:type="dcterms:W3CDTF">2022-06-13T16:42:01Z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ICV">
    <vt:lpwstr>A135D0045018430697DEA5153DC357BF</vt:lpwstr>
  </property>
</Properties>
</file>