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新建一个</w:t>
      </w:r>
      <w:r>
        <w:rPr>
          <w:rFonts w:hint="eastAsia"/>
          <w:lang w:val="en-US" w:eastAsia="zh-CN"/>
        </w:rPr>
        <w:t>spring initial project维护所有模块pom</w:t>
      </w:r>
    </w:p>
    <w:p>
      <w:r>
        <w:drawing>
          <wp:inline distT="0" distB="0" distL="114300" distR="114300">
            <wp:extent cx="5268595" cy="440309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Pom文件中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&lt;packaging&gt;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pom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&lt;/packaging&gt;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&lt;modules&gt;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sunlight-common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sunlight-config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sunlight-eureka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sunlight-gateway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sunlight-api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sunlight-service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&lt;module&gt;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sunlight-monitor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&lt;/modules&gt;</w:t>
      </w:r>
    </w:p>
    <w:p>
      <w:pPr>
        <w:rPr>
          <w:rFonts w:hint="default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project下面新建各个module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Pom文件集成project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&lt;parent&gt;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&lt;groupId&gt;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com.timeless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&lt;/groupId&gt;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&lt;artifactId&gt;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sunlight-cloud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&lt;/artifactId&gt;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&lt;version&gt;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0.0.1-SNAPSHOT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&lt;/version&gt;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&lt;/parent&gt;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3.module下面还可以继续新建module 新建的时候注意维护层级 默认还是并列的module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D0F20"/>
    <w:multiLevelType w:val="singleLevel"/>
    <w:tmpl w:val="F15D0F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5437B"/>
    <w:rsid w:val="1A55437B"/>
    <w:rsid w:val="4AEE2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2020-08-05T09:28:00Z</dcterms:created>
  <dc:creator>Administrator</dc:creator>
  <cp:lastModifiedBy>Administrator</cp:lastModifiedBy>
  <dcterms:modified xsi:type="dcterms:W3CDTF">2020-08-08T01:16:02Z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