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B2002" w14:textId="77777777" w:rsidR="0039141B" w:rsidRDefault="0039141B" w:rsidP="00060F3C">
      <w:pPr>
        <w:snapToGrid w:val="0"/>
        <w:ind w:firstLineChars="0" w:firstLine="0"/>
        <w:jc w:val="center"/>
        <w:rPr>
          <w:rFonts w:eastAsiaTheme="minorEastAsia" w:cs="Times New Roman"/>
          <w:sz w:val="32"/>
          <w:szCs w:val="32"/>
        </w:rPr>
      </w:pPr>
      <w:r w:rsidRPr="0039141B">
        <w:rPr>
          <w:rFonts w:eastAsiaTheme="minorEastAsia" w:cs="Times New Roman"/>
          <w:sz w:val="32"/>
          <w:szCs w:val="32"/>
        </w:rPr>
        <w:t>The Relationship of Risk Levels between Insurance Company Risk-Based Capital Ratios and Stock Value at Risks</w:t>
      </w:r>
      <w:r>
        <w:rPr>
          <w:rFonts w:eastAsiaTheme="minorEastAsia" w:cs="Times New Roman"/>
          <w:sz w:val="32"/>
          <w:szCs w:val="32"/>
        </w:rPr>
        <w:t xml:space="preserve"> in Taiwan</w:t>
      </w:r>
    </w:p>
    <w:p w14:paraId="250A35A8" w14:textId="4D662CE7" w:rsidR="0039141B" w:rsidRPr="0039141B" w:rsidRDefault="0039141B" w:rsidP="00060F3C">
      <w:pPr>
        <w:snapToGrid w:val="0"/>
        <w:spacing w:beforeLines="50" w:before="180" w:line="360" w:lineRule="auto"/>
        <w:ind w:firstLineChars="0" w:firstLine="0"/>
        <w:jc w:val="center"/>
        <w:rPr>
          <w:rFonts w:cs="Times New Roman"/>
          <w:sz w:val="32"/>
          <w:szCs w:val="32"/>
        </w:rPr>
      </w:pPr>
      <w:r>
        <w:rPr>
          <w:rFonts w:cstheme="minorHAnsi"/>
          <w:sz w:val="32"/>
          <w:szCs w:val="36"/>
        </w:rPr>
        <w:t>Pei-Lin Liao, Jen-</w:t>
      </w:r>
      <w:proofErr w:type="spellStart"/>
      <w:r>
        <w:rPr>
          <w:rFonts w:cstheme="minorHAnsi"/>
          <w:sz w:val="32"/>
          <w:szCs w:val="36"/>
        </w:rPr>
        <w:t>Shein</w:t>
      </w:r>
      <w:proofErr w:type="spellEnd"/>
      <w:r>
        <w:rPr>
          <w:rFonts w:cstheme="minorHAnsi"/>
          <w:sz w:val="32"/>
          <w:szCs w:val="36"/>
        </w:rPr>
        <w:t xml:space="preserve"> Su, </w:t>
      </w:r>
      <w:proofErr w:type="spellStart"/>
      <w:r>
        <w:rPr>
          <w:rFonts w:cstheme="minorHAnsi"/>
          <w:sz w:val="32"/>
          <w:szCs w:val="36"/>
        </w:rPr>
        <w:t>EnDer</w:t>
      </w:r>
      <w:proofErr w:type="spellEnd"/>
      <w:r>
        <w:rPr>
          <w:rFonts w:cstheme="minorHAnsi"/>
          <w:sz w:val="32"/>
          <w:szCs w:val="36"/>
        </w:rPr>
        <w:t xml:space="preserve"> Su*</w:t>
      </w:r>
    </w:p>
    <w:p w14:paraId="48400FFF" w14:textId="7A44309F" w:rsidR="00760C28" w:rsidRPr="00302D99" w:rsidRDefault="00302D99" w:rsidP="00185D00">
      <w:pPr>
        <w:pStyle w:val="Title"/>
        <w:ind w:firstLineChars="0" w:firstLine="0"/>
        <w:jc w:val="both"/>
        <w:rPr>
          <w:sz w:val="40"/>
        </w:rPr>
      </w:pPr>
      <w:r w:rsidRPr="00302D99">
        <w:rPr>
          <w:rFonts w:hint="eastAsia"/>
        </w:rPr>
        <w:t>Abstract</w:t>
      </w:r>
    </w:p>
    <w:p w14:paraId="5CB28AAB" w14:textId="6602D1AB" w:rsidR="00302D99" w:rsidRDefault="00302D99">
      <w:pPr>
        <w:ind w:firstLine="480"/>
      </w:pPr>
      <w:r w:rsidRPr="008B3DAA">
        <w:rPr>
          <w:rFonts w:hint="eastAsia"/>
        </w:rPr>
        <w:t>Capital Adequacy Ratio (Risk-Based Capital, RBC) and Net Worth Ratio are important indicators for measuring the financial soundness of an insurance company. This study has two main objectives: fi</w:t>
      </w:r>
      <w:r>
        <w:rPr>
          <w:rFonts w:hint="eastAsia"/>
        </w:rPr>
        <w:t>rst, to explore the correlation between the Capital Adequacy Ratio levels of life insurance companies and four risk areas of financial holding companies, including stock price risk, liquidity risk, operational risk, and other risks; second, to predict the relationship between the R</w:t>
      </w:r>
      <w:r w:rsidRPr="001D74A9">
        <w:t xml:space="preserve">BC rating </w:t>
      </w:r>
      <w:r w:rsidRPr="001D74A9">
        <w:rPr>
          <w:rFonts w:hint="eastAsia"/>
        </w:rPr>
        <w:t>and the</w:t>
      </w:r>
      <w:r>
        <w:rPr>
          <w:rFonts w:hint="eastAsia"/>
        </w:rPr>
        <w:t xml:space="preserve"> Value at Risk (</w:t>
      </w:r>
      <w:proofErr w:type="spellStart"/>
      <w:r>
        <w:rPr>
          <w:rFonts w:hint="eastAsia"/>
        </w:rPr>
        <w:t>VaR</w:t>
      </w:r>
      <w:proofErr w:type="spellEnd"/>
      <w:r>
        <w:rPr>
          <w:rFonts w:hint="eastAsia"/>
        </w:rPr>
        <w:t>) of stock price ret</w:t>
      </w:r>
      <w:r>
        <w:t>urns. This study focuses on nine financial holding companies in Taiwan's liste</w:t>
      </w:r>
      <w:r w:rsidRPr="001D74A9">
        <w:rPr>
          <w:rFonts w:hint="eastAsia"/>
        </w:rPr>
        <w:t>d financial in</w:t>
      </w:r>
      <w:r>
        <w:rPr>
          <w:rFonts w:hint="eastAsia"/>
        </w:rPr>
        <w:t>sur</w:t>
      </w:r>
      <w:r w:rsidRPr="00B1296C">
        <w:rPr>
          <w:rFonts w:hint="eastAsia"/>
        </w:rPr>
        <w:t>ance industry that have significant life insurance subsidiaries. After categorizing the Capital Adequacy Ratios of life insurance companies in</w:t>
      </w:r>
      <w:r>
        <w:rPr>
          <w:rFonts w:hint="eastAsia"/>
        </w:rPr>
        <w:t>to different levels</w:t>
      </w:r>
      <w:r w:rsidR="00F84202">
        <w:t xml:space="preserve"> using </w:t>
      </w:r>
      <w:r w:rsidR="00F47133">
        <w:t>ordered logit</w:t>
      </w:r>
      <w:r w:rsidR="00F84202">
        <w:t xml:space="preserve"> </w:t>
      </w:r>
      <w:r w:rsidR="00407713">
        <w:t>model</w:t>
      </w:r>
      <w:r>
        <w:rPr>
          <w:rFonts w:hint="eastAsia"/>
        </w:rPr>
        <w:t>, box plots are generated for each level against the risk areas of the nine financial holding parent companies to examine the distribution of risk factors for the parent companies under different Capital Adequacy Ratio levels. Correlation tests are also conducted to determine if there is a significant correlation between the Capital Adequacy Ratio levels of life insurance companies and the four risk areas of financial holding companies.</w:t>
      </w:r>
    </w:p>
    <w:p w14:paraId="61613AB2" w14:textId="01703CB2" w:rsidR="00F84202" w:rsidRPr="00F84202" w:rsidRDefault="00F84202" w:rsidP="002B7CE8">
      <w:pPr>
        <w:spacing w:beforeLines="50" w:before="180"/>
        <w:ind w:firstLineChars="0" w:firstLine="0"/>
        <w:rPr>
          <w:b/>
          <w:bCs/>
        </w:rPr>
      </w:pPr>
      <w:r w:rsidRPr="00F84202">
        <w:rPr>
          <w:b/>
          <w:bCs/>
        </w:rPr>
        <w:t xml:space="preserve">Keywords: </w:t>
      </w:r>
      <w:r>
        <w:rPr>
          <w:b/>
          <w:bCs/>
        </w:rPr>
        <w:t xml:space="preserve">financial holding companies, risk-based capital, </w:t>
      </w:r>
      <w:r w:rsidR="00407713">
        <w:rPr>
          <w:b/>
          <w:bCs/>
        </w:rPr>
        <w:t>o</w:t>
      </w:r>
      <w:r w:rsidR="00F47133">
        <w:rPr>
          <w:b/>
          <w:bCs/>
        </w:rPr>
        <w:t xml:space="preserve">rdered </w:t>
      </w:r>
      <w:r>
        <w:rPr>
          <w:b/>
          <w:bCs/>
        </w:rPr>
        <w:t>logi</w:t>
      </w:r>
      <w:r w:rsidR="00407713">
        <w:rPr>
          <w:b/>
          <w:bCs/>
        </w:rPr>
        <w:t>t model,</w:t>
      </w:r>
      <w:r>
        <w:rPr>
          <w:b/>
          <w:bCs/>
        </w:rPr>
        <w:t xml:space="preserve"> value at risk.</w:t>
      </w:r>
    </w:p>
    <w:p w14:paraId="487EA494" w14:textId="46B3BB48" w:rsidR="00302D99" w:rsidRPr="00302D99" w:rsidRDefault="000E451A" w:rsidP="00733180">
      <w:pPr>
        <w:pStyle w:val="Title"/>
        <w:ind w:firstLineChars="62" w:firstLine="199"/>
        <w:jc w:val="both"/>
      </w:pPr>
      <w:bookmarkStart w:id="0" w:name="_Toc113394878"/>
      <w:r>
        <w:rPr>
          <w:rFonts w:hint="eastAsia"/>
        </w:rPr>
        <w:t>1</w:t>
      </w:r>
      <w:r w:rsidR="00733180">
        <w:rPr>
          <w:rFonts w:hint="eastAsia"/>
        </w:rPr>
        <w:t>.</w:t>
      </w:r>
      <w:r>
        <w:rPr>
          <w:rFonts w:hint="eastAsia"/>
        </w:rPr>
        <w:t xml:space="preserve"> Intr</w:t>
      </w:r>
      <w:r w:rsidR="00302D99" w:rsidRPr="00302D99">
        <w:t>oduction</w:t>
      </w:r>
      <w:bookmarkEnd w:id="0"/>
    </w:p>
    <w:p w14:paraId="3D7C8F2B" w14:textId="77777777" w:rsidR="00EF44AD" w:rsidRDefault="00EF44AD" w:rsidP="00EF44AD">
      <w:pPr>
        <w:pStyle w:val="a0"/>
        <w:spacing w:before="0" w:after="0" w:line="240" w:lineRule="auto"/>
      </w:pPr>
      <w:r>
        <w:rPr>
          <w:rFonts w:hint="eastAsia"/>
        </w:rPr>
        <w:t>The fir</w:t>
      </w:r>
      <w:r>
        <w:t>st life insura</w:t>
      </w:r>
      <w:r>
        <w:rPr>
          <w:rFonts w:hint="eastAsia"/>
        </w:rPr>
        <w:t>nce company to collapse in Taiwan's history was Kuo-</w:t>
      </w:r>
      <w:proofErr w:type="spellStart"/>
      <w:r>
        <w:rPr>
          <w:rFonts w:hint="eastAsia"/>
        </w:rPr>
        <w:t>Kuang</w:t>
      </w:r>
      <w:proofErr w:type="spellEnd"/>
      <w:r>
        <w:rPr>
          <w:rFonts w:hint="eastAsia"/>
        </w:rPr>
        <w:t xml:space="preserve"> Life i</w:t>
      </w:r>
      <w:r w:rsidRPr="00ED298D">
        <w:rPr>
          <w:rFonts w:hint="eastAsia"/>
        </w:rPr>
        <w:t>n 1970. From 2</w:t>
      </w:r>
      <w:r>
        <w:rPr>
          <w:rFonts w:hint="eastAsia"/>
        </w:rPr>
        <w:t xml:space="preserve">005 to </w:t>
      </w:r>
      <w:r>
        <w:t>the present, f</w:t>
      </w:r>
      <w:r>
        <w:rPr>
          <w:rFonts w:hint="eastAsia"/>
        </w:rPr>
        <w:t>our life insurance companies (Kuo-</w:t>
      </w:r>
      <w:proofErr w:type="spellStart"/>
      <w:r>
        <w:rPr>
          <w:rFonts w:hint="eastAsia"/>
        </w:rPr>
        <w:t>Kuang</w:t>
      </w:r>
      <w:proofErr w:type="spellEnd"/>
      <w:r>
        <w:rPr>
          <w:rFonts w:hint="eastAsia"/>
        </w:rPr>
        <w:t xml:space="preserve"> Life, Kuo-Pao Life, </w:t>
      </w:r>
      <w:proofErr w:type="spellStart"/>
      <w:r>
        <w:rPr>
          <w:rFonts w:hint="eastAsia"/>
        </w:rPr>
        <w:t>Hsing</w:t>
      </w:r>
      <w:proofErr w:type="spellEnd"/>
      <w:r>
        <w:rPr>
          <w:rFonts w:hint="eastAsia"/>
        </w:rPr>
        <w:t>-Fu Life, and Chao-Y</w:t>
      </w:r>
      <w:r>
        <w:t>ang</w:t>
      </w:r>
      <w:r>
        <w:rPr>
          <w:rFonts w:hint="eastAsia"/>
        </w:rPr>
        <w:t xml:space="preserve"> Life)</w:t>
      </w:r>
      <w:r>
        <w:t xml:space="preserve"> an</w:t>
      </w:r>
      <w:r>
        <w:rPr>
          <w:rFonts w:hint="eastAsia"/>
        </w:rPr>
        <w:t>d two property insurance companies (Hua-Shan Property Insurance and Kuo-</w:t>
      </w:r>
      <w:proofErr w:type="spellStart"/>
      <w:r>
        <w:rPr>
          <w:rFonts w:hint="eastAsia"/>
        </w:rPr>
        <w:t>Kuang</w:t>
      </w:r>
      <w:proofErr w:type="spellEnd"/>
      <w:r>
        <w:rPr>
          <w:rFonts w:hint="eastAsia"/>
        </w:rPr>
        <w:t xml:space="preserve"> Property Insurance) </w:t>
      </w:r>
      <w:r>
        <w:t>hav</w:t>
      </w:r>
      <w:r>
        <w:rPr>
          <w:rFonts w:hint="eastAsia"/>
        </w:rPr>
        <w:t>e been</w:t>
      </w:r>
      <w:r>
        <w:t xml:space="preserve"> or</w:t>
      </w:r>
      <w:r>
        <w:rPr>
          <w:rFonts w:hint="eastAsia"/>
        </w:rPr>
        <w:t>dered to cease operations in Taiwan. Fortunately, these companies found willing acquirers, so policyholder rights were not affected. However, if a successor company cannot be found, the Insurance Stabilization Fund will provide compensation, whi</w:t>
      </w:r>
      <w:r w:rsidRPr="00060945">
        <w:rPr>
          <w:rFonts w:hint="eastAsia"/>
        </w:rPr>
        <w:t>ch may impact policyholder r</w:t>
      </w:r>
      <w:r>
        <w:rPr>
          <w:rFonts w:hint="eastAsia"/>
        </w:rPr>
        <w:t>ights. For the public wishing to purchase insurance, the most co</w:t>
      </w:r>
      <w:r w:rsidRPr="00335F10">
        <w:rPr>
          <w:rFonts w:hint="eastAsia"/>
        </w:rPr>
        <w:t xml:space="preserve">nvenient way to assess the financial health of an insurance company is to use the </w:t>
      </w:r>
      <w:r w:rsidRPr="00335F10">
        <w:rPr>
          <w:rFonts w:hint="eastAsia"/>
        </w:rPr>
        <w:lastRenderedPageBreak/>
        <w:t>Financial Supervisory Commis</w:t>
      </w:r>
      <w:r>
        <w:rPr>
          <w:rFonts w:hint="eastAsia"/>
        </w:rPr>
        <w:t>sion's (FSC) I</w:t>
      </w:r>
      <w:r w:rsidRPr="00335F10">
        <w:rPr>
          <w:rFonts w:hint="eastAsia"/>
        </w:rPr>
        <w:t>nsu</w:t>
      </w:r>
      <w:r>
        <w:rPr>
          <w:rFonts w:hint="eastAsia"/>
        </w:rPr>
        <w:t>ran</w:t>
      </w:r>
      <w:r w:rsidRPr="00335F10">
        <w:rPr>
          <w:rFonts w:hint="eastAsia"/>
        </w:rPr>
        <w:t>ce Industry Public Information Observation Station website to search for company profiles, financial status, and business overview of each insurance company. Among these, the Capital</w:t>
      </w:r>
      <w:r>
        <w:rPr>
          <w:rFonts w:hint="eastAsia"/>
        </w:rPr>
        <w:t xml:space="preserve"> Adequa</w:t>
      </w:r>
      <w:r w:rsidRPr="0017149C">
        <w:t>cy Ratio (Risk-Based Capital, RBC) and Net Worth Ratio are cruci</w:t>
      </w:r>
      <w:r w:rsidRPr="00335F10">
        <w:t>al indicators for</w:t>
      </w:r>
      <w:r>
        <w:rPr>
          <w:rFonts w:hint="eastAsia"/>
        </w:rPr>
        <w:t xml:space="preserve"> ev</w:t>
      </w:r>
      <w:r>
        <w:t>alu</w:t>
      </w:r>
      <w:r>
        <w:rPr>
          <w:rFonts w:hint="eastAsia"/>
        </w:rPr>
        <w:t>ating an insurance company's financial soundness. When an insurance company's Capi</w:t>
      </w:r>
      <w:r w:rsidRPr="00335F10">
        <w:rPr>
          <w:rFonts w:hint="eastAsia"/>
        </w:rPr>
        <w:t>tal Adequacy Rati</w:t>
      </w:r>
      <w:r>
        <w:rPr>
          <w:rFonts w:hint="eastAsia"/>
        </w:rPr>
        <w:t>o o</w:t>
      </w:r>
      <w:r w:rsidRPr="00335F10">
        <w:rPr>
          <w:rFonts w:hint="eastAsia"/>
        </w:rPr>
        <w:t>r Net Worth Ratio falls below the stand</w:t>
      </w:r>
      <w:r>
        <w:rPr>
          <w:rFonts w:hint="eastAsia"/>
        </w:rPr>
        <w:t>ards stipulated in the Regulations Governi</w:t>
      </w:r>
      <w:r w:rsidRPr="00335F10">
        <w:rPr>
          <w:rFonts w:hint="eastAsia"/>
        </w:rPr>
        <w:t xml:space="preserve">ng the </w:t>
      </w:r>
      <w:r>
        <w:rPr>
          <w:rFonts w:hint="eastAsia"/>
        </w:rPr>
        <w:t>Cap</w:t>
      </w:r>
      <w:r w:rsidRPr="00335F10">
        <w:rPr>
          <w:rFonts w:hint="eastAsia"/>
        </w:rPr>
        <w:t>ital Adequacy of Insurance Enterpri</w:t>
      </w:r>
      <w:r>
        <w:rPr>
          <w:rFonts w:hint="eastAsia"/>
        </w:rPr>
        <w:t xml:space="preserve">ses, the company </w:t>
      </w:r>
      <w:r w:rsidRPr="00335F10">
        <w:rPr>
          <w:rFonts w:hint="eastAsia"/>
        </w:rPr>
        <w:t>may be taken over by the FSC in accorda</w:t>
      </w:r>
      <w:r>
        <w:rPr>
          <w:rFonts w:hint="eastAsia"/>
        </w:rPr>
        <w:t>nce with A</w:t>
      </w:r>
      <w:r w:rsidRPr="00335F10">
        <w:rPr>
          <w:rFonts w:hint="eastAsia"/>
        </w:rPr>
        <w:t xml:space="preserve">rticle </w:t>
      </w:r>
      <w:r>
        <w:rPr>
          <w:rFonts w:hint="eastAsia"/>
        </w:rPr>
        <w:t>149 of the Insurance Act.</w:t>
      </w:r>
    </w:p>
    <w:p w14:paraId="7E70DFAD" w14:textId="351BAA6E" w:rsidR="00F84202" w:rsidRDefault="00EF44AD" w:rsidP="002B7CE8">
      <w:pPr>
        <w:ind w:firstLine="480"/>
      </w:pPr>
      <w:r w:rsidRPr="00D44284">
        <w:rPr>
          <w:rFonts w:cs="Times New Roman (本文)" w:hint="eastAsia"/>
        </w:rPr>
        <w:t>In addition to affecting policyholder rights, the failure of an insurance company also impacts investors holding its stock. Therefore, this study aims to provide a more easily understandable method for the public to assess whether a company's stock price aligns with their personal reasonable target price risk value when considering investments in financial insurance-related sectors, thereby fulfilling the study's purpose.</w:t>
      </w:r>
      <w:bookmarkStart w:id="1" w:name="_Toc90024330"/>
      <w:bookmarkStart w:id="2" w:name="_Toc90503068"/>
      <w:bookmarkStart w:id="3" w:name="_Toc113394883"/>
    </w:p>
    <w:p w14:paraId="4B45043F" w14:textId="1F4A0A07" w:rsidR="001D363C" w:rsidRPr="0071001D" w:rsidRDefault="001D363C" w:rsidP="00F84202">
      <w:pPr>
        <w:pStyle w:val="Title"/>
        <w:ind w:firstLineChars="62" w:firstLine="199"/>
        <w:jc w:val="both"/>
      </w:pPr>
      <w:r>
        <w:rPr>
          <w:rFonts w:hint="eastAsia"/>
        </w:rPr>
        <w:t>2</w:t>
      </w:r>
      <w:r w:rsidR="00F84202">
        <w:t xml:space="preserve">. </w:t>
      </w:r>
      <w:r>
        <w:rPr>
          <w:rFonts w:hint="eastAsia"/>
        </w:rPr>
        <w:t>Lit</w:t>
      </w:r>
      <w:r w:rsidRPr="0071001D">
        <w:t>erature Review</w:t>
      </w:r>
      <w:bookmarkEnd w:id="1"/>
      <w:bookmarkEnd w:id="2"/>
      <w:bookmarkEnd w:id="3"/>
    </w:p>
    <w:p w14:paraId="664EDEEC" w14:textId="37AB0693" w:rsidR="0071001D" w:rsidRDefault="00DE6038" w:rsidP="00DE6038">
      <w:pPr>
        <w:ind w:firstLineChars="0" w:firstLine="0"/>
      </w:pPr>
      <w:bookmarkStart w:id="4" w:name="_Toc113394884"/>
      <w:r>
        <w:rPr>
          <w:rFonts w:hint="eastAsia"/>
        </w:rPr>
        <w:t>2</w:t>
      </w:r>
      <w:r w:rsidR="00185D00">
        <w:t>.Ri</w:t>
      </w:r>
      <w:r>
        <w:rPr>
          <w:rFonts w:hint="eastAsia"/>
        </w:rPr>
        <w:t>sk Assessment of Insurance Companies</w:t>
      </w:r>
      <w:bookmarkEnd w:id="4"/>
    </w:p>
    <w:p w14:paraId="7ACAE104" w14:textId="7909D579" w:rsidR="0071001D" w:rsidRDefault="0071001D" w:rsidP="0071001D">
      <w:pPr>
        <w:ind w:firstLine="480"/>
      </w:pPr>
      <w:r>
        <w:rPr>
          <w:rFonts w:hint="eastAsia"/>
          <w:noProof/>
        </w:rPr>
        <w:t>Kozmenko &amp; Oliynyk (2015) desc</w:t>
      </w:r>
      <w:r>
        <w:rPr>
          <w:noProof/>
        </w:rPr>
        <w:t>ribe h</w:t>
      </w:r>
      <w:r>
        <w:rPr>
          <w:rFonts w:hint="eastAsia"/>
          <w:noProof/>
        </w:rPr>
        <w:t>ow to use probability me</w:t>
      </w:r>
      <w:r>
        <w:rPr>
          <w:noProof/>
        </w:rPr>
        <w:t xml:space="preserve">thods </w:t>
      </w:r>
      <w:r>
        <w:rPr>
          <w:rFonts w:hint="eastAsia"/>
          <w:noProof/>
        </w:rPr>
        <w:t>to establish a mo</w:t>
      </w:r>
      <w:r>
        <w:rPr>
          <w:noProof/>
        </w:rPr>
        <w:t>del</w:t>
      </w:r>
      <w:r>
        <w:rPr>
          <w:rFonts w:hint="eastAsia"/>
          <w:noProof/>
        </w:rPr>
        <w:t xml:space="preserve"> for assessing the operational risks of insurance companies. They suggest that insurance companies' risk management departments should use probability methods for preliminary analysis of different risk categories, classifying the analysis results into five levels: 'minimal risk,' 'low risk,' 'accep</w:t>
      </w:r>
      <w:r w:rsidR="005376CF">
        <w:rPr>
          <w:noProof/>
        </w:rPr>
        <w:t>t</w:t>
      </w:r>
      <w:r w:rsidR="00612B00">
        <w:rPr>
          <w:rFonts w:hint="eastAsia"/>
          <w:noProof/>
        </w:rPr>
        <w:t xml:space="preserve">able </w:t>
      </w:r>
      <w:r>
        <w:rPr>
          <w:rFonts w:hint="eastAsia"/>
          <w:noProof/>
        </w:rPr>
        <w:t xml:space="preserve"> risk,' 'severe risk,' and 'catastrophic risk.' This allows for the identification of the most critical risk factors, enabling the implementation of measures to mitigate negative impacts on the company.</w:t>
      </w:r>
    </w:p>
    <w:p w14:paraId="54275C20" w14:textId="77777777" w:rsidR="0071001D" w:rsidRDefault="0071001D" w:rsidP="0071001D">
      <w:pPr>
        <w:pStyle w:val="a0"/>
      </w:pPr>
      <w:proofErr w:type="spellStart"/>
      <w:r w:rsidRPr="00395DA6">
        <w:t>BarNiv</w:t>
      </w:r>
      <w:proofErr w:type="spellEnd"/>
      <w:r w:rsidRPr="00395DA6">
        <w:t xml:space="preserve"> &amp; Hershberger (1990) authored the first study on life insur</w:t>
      </w:r>
      <w:r>
        <w:t>ance compa</w:t>
      </w:r>
      <w:r w:rsidRPr="00395DA6">
        <w:rPr>
          <w:rFonts w:hint="eastAsia"/>
        </w:rPr>
        <w:t xml:space="preserve">ny </w:t>
      </w:r>
      <w:r w:rsidRPr="00395DA6">
        <w:t>insolvency</w:t>
      </w:r>
      <w:r>
        <w:t>. The m</w:t>
      </w:r>
      <w:r>
        <w:rPr>
          <w:rFonts w:hint="eastAsia"/>
        </w:rPr>
        <w:t>odel proposed in their research aims to identify variables related to the financial solvenc</w:t>
      </w:r>
      <w:r>
        <w:rPr>
          <w:rFonts w:ascii="Apple Color Emoji" w:hAnsi="Apple Color Emoji" w:cs="Apple Color Emoji" w:hint="eastAsia"/>
        </w:rPr>
        <w:t>y of li</w:t>
      </w:r>
      <w:r>
        <w:rPr>
          <w:rFonts w:hint="eastAsia"/>
        </w:rPr>
        <w:t>fe insurance companies. The objective of the study was to review the financia</w:t>
      </w:r>
      <w:r w:rsidRPr="000446E4">
        <w:rPr>
          <w:rFonts w:hint="eastAsia"/>
        </w:rPr>
        <w:t>l opera</w:t>
      </w:r>
      <w:r>
        <w:rPr>
          <w:rFonts w:hint="eastAsia"/>
        </w:rPr>
        <w:t xml:space="preserve">tions of life </w:t>
      </w:r>
      <w:r w:rsidRPr="000446E4">
        <w:rPr>
          <w:rFonts w:hint="eastAsia"/>
        </w:rPr>
        <w:t>insurance companies to discover variables that could aid in monitoring their solvency and to examine the applicability and eff</w:t>
      </w:r>
      <w:r>
        <w:rPr>
          <w:rFonts w:hint="eastAsia"/>
        </w:rPr>
        <w:t>iciency of mul</w:t>
      </w:r>
      <w:r w:rsidRPr="000446E4">
        <w:rPr>
          <w:rFonts w:hint="eastAsia"/>
        </w:rPr>
        <w:t>tivariate models in monitoring life insurance company so</w:t>
      </w:r>
      <w:r>
        <w:rPr>
          <w:rFonts w:hint="eastAsia"/>
        </w:rPr>
        <w:t>lvency. They employed three multivariate analyses: discriminant analysis, non-parametric analy</w:t>
      </w:r>
      <w:r w:rsidRPr="003B48EA">
        <w:rPr>
          <w:rFonts w:hint="eastAsia"/>
        </w:rPr>
        <w:t>sis, and logistic</w:t>
      </w:r>
      <w:r>
        <w:rPr>
          <w:rFonts w:hint="eastAsia"/>
        </w:rPr>
        <w:t xml:space="preserve"> regression. The researc</w:t>
      </w:r>
      <w:r w:rsidRPr="009B3C9F">
        <w:rPr>
          <w:rFonts w:hint="eastAsia"/>
        </w:rPr>
        <w:t>h concluded that life insurance companies require ab</w:t>
      </w:r>
      <w:r>
        <w:t>sol</w:t>
      </w:r>
      <w:r w:rsidRPr="009B3C9F">
        <w:rPr>
          <w:rFonts w:hint="eastAsia"/>
        </w:rPr>
        <w:t>ute and relative returns</w:t>
      </w:r>
      <w:r>
        <w:rPr>
          <w:rFonts w:hint="eastAsia"/>
        </w:rPr>
        <w:t xml:space="preserve"> (i</w:t>
      </w:r>
      <w:r w:rsidRPr="009B3C9F">
        <w:rPr>
          <w:rFonts w:hint="eastAsia"/>
        </w:rPr>
        <w:t xml:space="preserve">ncluding investment yields) to maintain solvency. The IRIS test performed well in multivariate models combined with other financial indicators. Therefore, when reviewing companies listed for supervision, insurance regulators </w:t>
      </w:r>
      <w:r w:rsidRPr="009B3C9F">
        <w:rPr>
          <w:rFonts w:hint="eastAsia"/>
        </w:rPr>
        <w:lastRenderedPageBreak/>
        <w:t xml:space="preserve">should consider these variables in addition to </w:t>
      </w:r>
      <w:r w:rsidRPr="00FA2A88">
        <w:rPr>
          <w:rFonts w:hint="eastAsia"/>
        </w:rPr>
        <w:t>IRIS ratios.</w:t>
      </w:r>
    </w:p>
    <w:p w14:paraId="05061344" w14:textId="77777777" w:rsidR="0071001D" w:rsidRPr="0071001D" w:rsidRDefault="0071001D" w:rsidP="00DE6038">
      <w:pPr>
        <w:pStyle w:val="a0"/>
      </w:pPr>
      <w:proofErr w:type="spellStart"/>
      <w:r w:rsidRPr="00447885">
        <w:t>Jhonpita</w:t>
      </w:r>
      <w:proofErr w:type="spellEnd"/>
      <w:r w:rsidRPr="00447885">
        <w:t xml:space="preserve"> et al. (2012) pr</w:t>
      </w:r>
      <w:r>
        <w:t>opose the use of ordinal cla</w:t>
      </w:r>
      <w:r w:rsidRPr="00447885">
        <w:t xml:space="preserve">ssification </w:t>
      </w:r>
      <w:r>
        <w:t xml:space="preserve">to </w:t>
      </w:r>
      <w:r w:rsidRPr="00CA5A6C">
        <w:rPr>
          <w:rFonts w:hint="eastAsia"/>
        </w:rPr>
        <w:t>assess the financial stability of non-life insurance companies, categorizing them as</w:t>
      </w:r>
      <w:r>
        <w:rPr>
          <w:rFonts w:hint="eastAsia"/>
        </w:rPr>
        <w:t xml:space="preserve"> 's</w:t>
      </w:r>
      <w:r w:rsidRPr="00CA5A6C">
        <w:rPr>
          <w:rFonts w:hint="eastAsia"/>
        </w:rPr>
        <w:t>tro</w:t>
      </w:r>
      <w:r>
        <w:rPr>
          <w:rFonts w:hint="eastAsia"/>
        </w:rPr>
        <w:t>ng,</w:t>
      </w:r>
      <w:r w:rsidRPr="00CA5A6C">
        <w:rPr>
          <w:rFonts w:hint="eastAsia"/>
        </w:rPr>
        <w:t>' '</w:t>
      </w:r>
      <w:r>
        <w:rPr>
          <w:rFonts w:hint="eastAsia"/>
        </w:rPr>
        <w:t>med</w:t>
      </w:r>
      <w:r w:rsidRPr="00CA5A6C">
        <w:rPr>
          <w:rFonts w:hint="eastAsia"/>
        </w:rPr>
        <w:t>ium</w:t>
      </w:r>
      <w:r>
        <w:rPr>
          <w:rFonts w:hint="eastAsia"/>
        </w:rPr>
        <w:t xml:space="preserve">,' </w:t>
      </w:r>
      <w:r w:rsidRPr="00CA5A6C">
        <w:rPr>
          <w:rFonts w:hint="eastAsia"/>
        </w:rPr>
        <w:t>'we</w:t>
      </w:r>
      <w:r>
        <w:rPr>
          <w:rFonts w:hint="eastAsia"/>
        </w:rPr>
        <w:t>ak,</w:t>
      </w:r>
      <w:r w:rsidRPr="00CA5A6C">
        <w:rPr>
          <w:rFonts w:hint="eastAsia"/>
        </w:rPr>
        <w:t>' a</w:t>
      </w:r>
      <w:r>
        <w:rPr>
          <w:rFonts w:hint="eastAsia"/>
        </w:rPr>
        <w:t xml:space="preserve">nd </w:t>
      </w:r>
      <w:r w:rsidRPr="00CA5A6C">
        <w:rPr>
          <w:rFonts w:hint="eastAsia"/>
        </w:rPr>
        <w:t>'ba</w:t>
      </w:r>
      <w:r>
        <w:rPr>
          <w:rFonts w:hint="eastAsia"/>
        </w:rPr>
        <w:t>nkr</w:t>
      </w:r>
      <w:r w:rsidRPr="00CA5A6C">
        <w:rPr>
          <w:rFonts w:hint="eastAsia"/>
        </w:rPr>
        <w:t xml:space="preserve">upt.' </w:t>
      </w:r>
      <w:r>
        <w:rPr>
          <w:rFonts w:hint="eastAsia"/>
        </w:rPr>
        <w:t>Thi</w:t>
      </w:r>
      <w:r w:rsidRPr="00CA5A6C">
        <w:rPr>
          <w:rFonts w:hint="eastAsia"/>
        </w:rPr>
        <w:t>s study developed an effective classification model that regulators can use to evaluate financial soundness and prioritize further reviews as an early warning system. This benefits policymakers</w:t>
      </w:r>
      <w:r>
        <w:rPr>
          <w:rFonts w:hint="eastAsia"/>
        </w:rPr>
        <w:t xml:space="preserve"> in formulat</w:t>
      </w:r>
      <w:r w:rsidRPr="00CA5A6C">
        <w:rPr>
          <w:rFonts w:hint="eastAsia"/>
        </w:rPr>
        <w:t>ing</w:t>
      </w:r>
      <w:r w:rsidRPr="00346C11">
        <w:rPr>
          <w:rFonts w:hint="eastAsia"/>
        </w:rPr>
        <w:t xml:space="preserve"> solvency regulations and government guidelines on protecting the pu</w:t>
      </w:r>
      <w:r>
        <w:rPr>
          <w:rFonts w:hint="eastAsia"/>
        </w:rPr>
        <w:t>blic from ba</w:t>
      </w:r>
      <w:r w:rsidRPr="00346C11">
        <w:rPr>
          <w:rFonts w:hint="eastAsia"/>
        </w:rPr>
        <w:t>nkruptcy's negative effects.</w:t>
      </w:r>
    </w:p>
    <w:p w14:paraId="551DD0CC" w14:textId="5C1276EB" w:rsidR="0071001D" w:rsidRDefault="00DE6038" w:rsidP="00DE6038">
      <w:pPr>
        <w:ind w:firstLineChars="0" w:firstLine="0"/>
      </w:pPr>
      <w:bookmarkStart w:id="5" w:name="_Toc113394885"/>
      <w:r>
        <w:rPr>
          <w:rFonts w:hint="eastAsia"/>
        </w:rPr>
        <w:t>2</w:t>
      </w:r>
      <w:r w:rsidR="00185D00">
        <w:t>.</w:t>
      </w:r>
      <w:r>
        <w:rPr>
          <w:rFonts w:hint="eastAsia"/>
        </w:rPr>
        <w:t>2 Literatu</w:t>
      </w:r>
      <w:r w:rsidR="0071001D">
        <w:rPr>
          <w:rFonts w:hint="eastAsia"/>
        </w:rPr>
        <w:t>re Related to Capital Adequacy Ratio</w:t>
      </w:r>
      <w:bookmarkEnd w:id="5"/>
    </w:p>
    <w:p w14:paraId="73E00BAE" w14:textId="77777777" w:rsidR="0071001D" w:rsidRPr="00E928D1" w:rsidRDefault="0071001D" w:rsidP="0071001D">
      <w:pPr>
        <w:pStyle w:val="a0"/>
        <w:ind w:leftChars="50" w:left="120" w:firstLineChars="150" w:firstLine="360"/>
      </w:pPr>
      <w:r w:rsidRPr="00497CC9">
        <w:t>The primary objectives o</w:t>
      </w:r>
      <w:r>
        <w:t xml:space="preserve">f Cummins </w:t>
      </w:r>
      <w:r w:rsidRPr="00497CC9">
        <w:t xml:space="preserve">&amp; Phillips (2009) were: 1. </w:t>
      </w:r>
      <w:r>
        <w:t>To conduct an empirical ana</w:t>
      </w:r>
      <w:r>
        <w:rPr>
          <w:rFonts w:hint="eastAsia"/>
        </w:rPr>
        <w:t>lysis of the bankruptcy exp</w:t>
      </w:r>
      <w:r>
        <w:t>erience, c</w:t>
      </w:r>
      <w:r w:rsidRPr="00884C1B">
        <w:rPr>
          <w:rFonts w:hint="eastAsia"/>
        </w:rPr>
        <w:t>apitalization, and causes of bankruptcy in the U.S. insurance industry; 2. To perform a comp</w:t>
      </w:r>
      <w:r>
        <w:t>arativ</w:t>
      </w:r>
      <w:r w:rsidRPr="00884C1B">
        <w:rPr>
          <w:rFonts w:hint="eastAsia"/>
        </w:rPr>
        <w:t>e analysis and evaluation of the U.S. Risk-Based Capital (RBC) syste</w:t>
      </w:r>
      <w:r w:rsidRPr="00992124">
        <w:t>m, the European Solvency II system, a</w:t>
      </w:r>
      <w:r w:rsidRPr="00884C1B">
        <w:rPr>
          <w:rFonts w:hint="eastAsia"/>
        </w:rPr>
        <w:t>nd the Swiss Solvency Test (SST). The research results indicated that the U.S. RBC system canno</w:t>
      </w:r>
      <w:r>
        <w:rPr>
          <w:rFonts w:hint="eastAsia"/>
        </w:rPr>
        <w:t>t accu</w:t>
      </w:r>
      <w:r w:rsidRPr="00884C1B">
        <w:rPr>
          <w:rFonts w:hint="eastAsia"/>
        </w:rPr>
        <w:t>rately predict insurance company bankruptcies. The U.S. solvency supervision system needs revision to meet current international standards by introducing stochastic models and market-consistent valuations. The results of internal company models should be incorporated into regulatory solvency supervision, but regulators should also develop standard stochastic regulatory models to determine minimum capital standards. U.S. regulations should also formally incorporate qualitative assessments, such as the Own Risk and Solvency Assessment (ORSA) process.</w:t>
      </w:r>
    </w:p>
    <w:p w14:paraId="752D0FCA" w14:textId="77777777" w:rsidR="0071001D" w:rsidRDefault="0071001D" w:rsidP="0071001D">
      <w:pPr>
        <w:ind w:firstLine="480"/>
      </w:pPr>
      <w:r w:rsidRPr="00570105">
        <w:rPr>
          <w:rFonts w:hint="eastAsia"/>
        </w:rPr>
        <w:t>The financial stability of insurance companies is typically measured by solvency indicator</w:t>
      </w:r>
      <w:r>
        <w:rPr>
          <w:rFonts w:hint="eastAsia"/>
        </w:rPr>
        <w:t>s, as insurance companies may need to pay claims at any time. The premiums received are reserves for future policyhol</w:t>
      </w:r>
      <w:r w:rsidRPr="00617448">
        <w:rPr>
          <w:rFonts w:hint="eastAsia"/>
        </w:rPr>
        <w:t>der payments, essentially representing liab</w:t>
      </w:r>
      <w:r>
        <w:rPr>
          <w:rFonts w:hint="eastAsia"/>
        </w:rPr>
        <w:t>ilities. Due to Taiwan's high insurance penetration and high p</w:t>
      </w:r>
      <w:r w:rsidRPr="00164AC6">
        <w:rPr>
          <w:rFonts w:hint="eastAsia"/>
        </w:rPr>
        <w:t>olicy ownership rates, any issues w</w:t>
      </w:r>
      <w:r>
        <w:rPr>
          <w:rFonts w:hint="eastAsia"/>
        </w:rPr>
        <w:t xml:space="preserve">ith an insurance company's ability to pay its debts could cause public anxiety and social instability, severely impacting the financial industry. Consequently, the insurance industry is highly regulated by the state. The FSC uses the Capital Adequacy Ratio and Net Worth Ratio to measure the stability of an insurance company's solvency. If a company's capital adequacy falls into the 'severely deficient' category, according to Article 149 of the Insurance Act, the insurance company must increase </w:t>
      </w:r>
      <w:r>
        <w:rPr>
          <w:rFonts w:hint="eastAsia"/>
        </w:rPr>
        <w:lastRenderedPageBreak/>
        <w:t>capital, implement a financial</w:t>
      </w:r>
      <w:r w:rsidRPr="00025969">
        <w:rPr>
          <w:rFonts w:hint="eastAsia"/>
        </w:rPr>
        <w:t xml:space="preserve"> or</w:t>
      </w:r>
      <w:r>
        <w:rPr>
          <w:rFonts w:hint="eastAsia"/>
        </w:rPr>
        <w:t xml:space="preserve"> bu</w:t>
      </w:r>
      <w:r w:rsidRPr="00025969">
        <w:rPr>
          <w:rFonts w:hint="eastAsia"/>
        </w:rPr>
        <w:t>siness improvement plan, or mer</w:t>
      </w:r>
      <w:r>
        <w:rPr>
          <w:rFonts w:hint="eastAsia"/>
        </w:rPr>
        <w:t>ge with</w:t>
      </w:r>
      <w:r w:rsidRPr="00025969">
        <w:rPr>
          <w:rFonts w:hint="eastAsia"/>
        </w:rPr>
        <w:t>in a period specified by the competent authority. If these req</w:t>
      </w:r>
      <w:r>
        <w:rPr>
          <w:rFonts w:hint="eastAsia"/>
        </w:rPr>
        <w:t xml:space="preserve">uirements are not met by the deadline, </w:t>
      </w:r>
      <w:r>
        <w:t>the FSC</w:t>
      </w:r>
      <w:r>
        <w:rPr>
          <w:rFonts w:hint="eastAsia"/>
        </w:rPr>
        <w:t xml:space="preserve"> will issue measures such as takeover, </w:t>
      </w:r>
      <w:r w:rsidRPr="00984186">
        <w:rPr>
          <w:rFonts w:hint="eastAsia"/>
        </w:rPr>
        <w:t>suspension of business for liquidation, or dissolution orders within 9</w:t>
      </w:r>
      <w:r>
        <w:rPr>
          <w:rFonts w:hint="eastAsia"/>
        </w:rPr>
        <w:t>0 days after the deadline. Therefore, maintaining capital adequacy is crucial for insurance companies.</w:t>
      </w:r>
    </w:p>
    <w:p w14:paraId="5CC3A2B4" w14:textId="16595526" w:rsidR="0071001D" w:rsidRDefault="00DE6038" w:rsidP="00DE6038">
      <w:pPr>
        <w:ind w:firstLineChars="0" w:firstLine="0"/>
      </w:pPr>
      <w:bookmarkStart w:id="6" w:name="_Toc113394886"/>
      <w:r>
        <w:rPr>
          <w:rFonts w:hint="eastAsia"/>
        </w:rPr>
        <w:t>2</w:t>
      </w:r>
      <w:r w:rsidR="00185D00">
        <w:t>.</w:t>
      </w:r>
      <w:r>
        <w:rPr>
          <w:rFonts w:hint="eastAsia"/>
        </w:rPr>
        <w:t>3 Resear</w:t>
      </w:r>
      <w:r w:rsidR="0071001D">
        <w:rPr>
          <w:rFonts w:hint="eastAsia"/>
        </w:rPr>
        <w:t>ch Related to Value at Risk</w:t>
      </w:r>
      <w:bookmarkEnd w:id="6"/>
    </w:p>
    <w:p w14:paraId="5845CA00" w14:textId="77777777" w:rsidR="002B2458" w:rsidRDefault="002B2458" w:rsidP="002B2458">
      <w:pPr>
        <w:pStyle w:val="a0"/>
      </w:pPr>
      <w:proofErr w:type="spellStart"/>
      <w:r w:rsidRPr="005741C2">
        <w:t>Erola</w:t>
      </w:r>
      <w:proofErr w:type="spellEnd"/>
      <w:r w:rsidRPr="005741C2">
        <w:t xml:space="preserve"> et al. (2022) proposed a system </w:t>
      </w:r>
      <w:r>
        <w:t>fo</w:t>
      </w:r>
      <w:r w:rsidRPr="005741C2">
        <w:t>r calculati</w:t>
      </w:r>
      <w:r>
        <w:t>ng</w:t>
      </w:r>
      <w:r w:rsidRPr="00BA494B">
        <w:rPr>
          <w:rFonts w:hint="eastAsia"/>
        </w:rPr>
        <w:t xml:space="preserve"> Cyber Value at Risk (</w:t>
      </w:r>
      <w:proofErr w:type="spellStart"/>
      <w:r w:rsidRPr="00BA494B">
        <w:rPr>
          <w:rFonts w:hint="eastAsia"/>
        </w:rPr>
        <w:t>CVa</w:t>
      </w:r>
      <w:r>
        <w:rPr>
          <w:rFonts w:hint="eastAsia"/>
        </w:rPr>
        <w:t>R</w:t>
      </w:r>
      <w:proofErr w:type="spellEnd"/>
      <w:r>
        <w:rPr>
          <w:rFonts w:hint="eastAsia"/>
        </w:rPr>
        <w:t>)</w:t>
      </w:r>
      <w:r w:rsidRPr="00BA494B">
        <w:rPr>
          <w:rFonts w:hint="eastAsia"/>
        </w:rPr>
        <w:t xml:space="preserve"> for organizations. </w:t>
      </w:r>
      <w:proofErr w:type="spellStart"/>
      <w:r w:rsidRPr="00BA494B">
        <w:rPr>
          <w:rFonts w:hint="eastAsia"/>
        </w:rPr>
        <w:t>CV</w:t>
      </w:r>
      <w:r w:rsidRPr="00BA494B">
        <w:t>aR</w:t>
      </w:r>
      <w:proofErr w:type="spellEnd"/>
      <w:r w:rsidRPr="00BA494B">
        <w:t xml:space="preserve"> is the probability density fu</w:t>
      </w:r>
      <w:r>
        <w:t>nc</w:t>
      </w:r>
      <w:r w:rsidRPr="00BA494B">
        <w:t xml:space="preserve">tion </w:t>
      </w:r>
      <w:r>
        <w:t>of</w:t>
      </w:r>
      <w:r w:rsidRPr="00BA494B">
        <w:t xml:space="preserve"> losses fro</w:t>
      </w:r>
      <w:r>
        <w:t>m cyb</w:t>
      </w:r>
      <w:r w:rsidRPr="00BA494B">
        <w:rPr>
          <w:rFonts w:hint="eastAsia"/>
        </w:rPr>
        <w:t>er events, applicable to any given threat and risk control pra</w:t>
      </w:r>
      <w:r>
        <w:rPr>
          <w:rFonts w:hint="eastAsia"/>
        </w:rPr>
        <w:t>ctice</w:t>
      </w:r>
      <w:r w:rsidRPr="00BA494B">
        <w:rPr>
          <w:rFonts w:hint="eastAsia"/>
        </w:rPr>
        <w:t>. It can account for changes in control utility, the consequences of risk</w:t>
      </w:r>
      <w:r>
        <w:rPr>
          <w:rFonts w:hint="eastAsia"/>
        </w:rPr>
        <w:t xml:space="preserve"> p</w:t>
      </w:r>
      <w:r w:rsidRPr="00BA494B">
        <w:rPr>
          <w:rFonts w:hint="eastAsia"/>
        </w:rPr>
        <w:t xml:space="preserve">ropagation </w:t>
      </w:r>
      <w:r>
        <w:rPr>
          <w:rFonts w:hint="eastAsia"/>
        </w:rPr>
        <w:t>th</w:t>
      </w:r>
      <w:r w:rsidRPr="00BA494B">
        <w:rPr>
          <w:rFonts w:hint="eastAsia"/>
        </w:rPr>
        <w:t>rough</w:t>
      </w:r>
      <w:r>
        <w:rPr>
          <w:rFonts w:hint="eastAsia"/>
        </w:rPr>
        <w:t xml:space="preserve"> infrastructur</w:t>
      </w:r>
      <w:r w:rsidRPr="00BA494B">
        <w:rPr>
          <w:rFonts w:hint="eastAsia"/>
        </w:rPr>
        <w:t>e, and the res</w:t>
      </w:r>
      <w:r>
        <w:rPr>
          <w:rFonts w:hint="eastAsia"/>
        </w:rPr>
        <w:t>ultin</w:t>
      </w:r>
      <w:r w:rsidRPr="00BA494B">
        <w:rPr>
          <w:rFonts w:hint="eastAsia"/>
        </w:rPr>
        <w:t>g cyber damage. The study demonstrated the system's pra</w:t>
      </w:r>
      <w:r>
        <w:rPr>
          <w:rFonts w:hint="eastAsia"/>
        </w:rPr>
        <w:t>ctica</w:t>
      </w:r>
      <w:r w:rsidRPr="00BA494B">
        <w:rPr>
          <w:rFonts w:hint="eastAsia"/>
        </w:rPr>
        <w:t>lity through a case study of organizations that experienced significant cyber events, with results showing the syst</w:t>
      </w:r>
      <w:r>
        <w:rPr>
          <w:rFonts w:hint="eastAsia"/>
        </w:rPr>
        <w:t>em can gene</w:t>
      </w:r>
      <w:r w:rsidRPr="00BA494B">
        <w:rPr>
          <w:rFonts w:hint="eastAsia"/>
        </w:rPr>
        <w:t xml:space="preserve">rate predictions representing actual financial losses. Insurance companies offering cyber products </w:t>
      </w:r>
      <w:r>
        <w:rPr>
          <w:rFonts w:hint="eastAsia"/>
        </w:rPr>
        <w:t>can u</w:t>
      </w:r>
      <w:r w:rsidRPr="00BA494B">
        <w:rPr>
          <w:rFonts w:hint="eastAsia"/>
        </w:rPr>
        <w:t>se the proposed system to better inform the calculation of insurance premiums, and organizations can use it to infer the impact of specific risk control sett</w:t>
      </w:r>
      <w:r>
        <w:rPr>
          <w:rFonts w:hint="eastAsia"/>
        </w:rPr>
        <w:t xml:space="preserve">ings </w:t>
      </w:r>
      <w:r w:rsidRPr="00BA494B">
        <w:rPr>
          <w:rFonts w:hint="eastAsia"/>
        </w:rPr>
        <w:t>on reducing their cyber risk exposure.</w:t>
      </w:r>
    </w:p>
    <w:p w14:paraId="08635073" w14:textId="77777777" w:rsidR="002B2458" w:rsidRDefault="002B2458" w:rsidP="002B2458">
      <w:pPr>
        <w:pStyle w:val="a0"/>
      </w:pPr>
      <w:r w:rsidRPr="0026338E">
        <w:t xml:space="preserve">Favre &amp; </w:t>
      </w:r>
      <w:proofErr w:type="spellStart"/>
      <w:r w:rsidRPr="0026338E">
        <w:t>Galeano</w:t>
      </w:r>
      <w:proofErr w:type="spellEnd"/>
      <w:r w:rsidRPr="0026338E">
        <w:t xml:space="preserve"> (2002) studied the developmen</w:t>
      </w:r>
      <w:r>
        <w:t xml:space="preserve">t </w:t>
      </w:r>
      <w:r w:rsidRPr="0026338E">
        <w:t>of a new Va</w:t>
      </w:r>
      <w:r>
        <w:t>lu</w:t>
      </w:r>
      <w:r>
        <w:rPr>
          <w:rFonts w:hint="eastAsia"/>
        </w:rPr>
        <w:t>e at Ri</w:t>
      </w:r>
      <w:r w:rsidRPr="00A73DA9">
        <w:rPr>
          <w:rFonts w:hint="eastAsia"/>
        </w:rPr>
        <w:t>sk (</w:t>
      </w:r>
      <w:proofErr w:type="spellStart"/>
      <w:r w:rsidRPr="00A73DA9">
        <w:rPr>
          <w:rFonts w:hint="eastAsia"/>
        </w:rPr>
        <w:t>VaR</w:t>
      </w:r>
      <w:proofErr w:type="spellEnd"/>
      <w:r w:rsidRPr="00A73DA9">
        <w:rPr>
          <w:rFonts w:hint="eastAsia"/>
        </w:rPr>
        <w:t>) measure, called Modified Value at Risk (</w:t>
      </w:r>
      <w:proofErr w:type="spellStart"/>
      <w:r w:rsidRPr="00A73DA9">
        <w:rPr>
          <w:rFonts w:hint="eastAsia"/>
        </w:rPr>
        <w:t>MVaR</w:t>
      </w:r>
      <w:proofErr w:type="spellEnd"/>
      <w:r w:rsidRPr="00A73DA9">
        <w:rPr>
          <w:rFonts w:hint="eastAsia"/>
        </w:rPr>
        <w:t xml:space="preserve">), </w:t>
      </w:r>
      <w:r>
        <w:rPr>
          <w:rFonts w:hint="eastAsia"/>
        </w:rPr>
        <w:t>based</w:t>
      </w:r>
      <w:r w:rsidRPr="00A73DA9">
        <w:rPr>
          <w:rFonts w:hint="eastAsia"/>
        </w:rPr>
        <w:t xml:space="preserve"> on the standa</w:t>
      </w:r>
      <w:r>
        <w:t>rd</w:t>
      </w:r>
      <w:r w:rsidRPr="003545E1">
        <w:t xml:space="preserve"> </w:t>
      </w:r>
      <w:proofErr w:type="spellStart"/>
      <w:r w:rsidRPr="003545E1">
        <w:t>VaR.</w:t>
      </w:r>
      <w:proofErr w:type="spellEnd"/>
      <w:r w:rsidRPr="003545E1">
        <w:t xml:space="preserve"> This modified </w:t>
      </w:r>
      <w:proofErr w:type="spellStart"/>
      <w:r w:rsidRPr="003545E1">
        <w:t>VaR</w:t>
      </w:r>
      <w:proofErr w:type="spellEnd"/>
      <w:r w:rsidRPr="003545E1">
        <w:t xml:space="preserve"> has the char</w:t>
      </w:r>
      <w:r>
        <w:t>ac</w:t>
      </w:r>
      <w:r w:rsidRPr="003545E1">
        <w:t>teris</w:t>
      </w:r>
      <w:r>
        <w:t>ti</w:t>
      </w:r>
      <w:r w:rsidRPr="003545E1">
        <w:t>c of adjust</w:t>
      </w:r>
      <w:r>
        <w:t>ing risk based</w:t>
      </w:r>
      <w:r>
        <w:rPr>
          <w:rFonts w:hint="eastAsia"/>
        </w:rPr>
        <w:t xml:space="preserve"> s</w:t>
      </w:r>
      <w:r>
        <w:t>ol</w:t>
      </w:r>
      <w:r w:rsidRPr="00A73DA9">
        <w:rPr>
          <w:rFonts w:hint="eastAsia"/>
        </w:rPr>
        <w:t>ely on t</w:t>
      </w:r>
      <w:r>
        <w:rPr>
          <w:rFonts w:hint="eastAsia"/>
        </w:rPr>
        <w:t>he sk</w:t>
      </w:r>
      <w:r w:rsidRPr="00A73DA9">
        <w:rPr>
          <w:rFonts w:hint="eastAsia"/>
        </w:rPr>
        <w:t xml:space="preserve">ewness and kurtosis of the return distribution, as well as volatility. </w:t>
      </w:r>
      <w:proofErr w:type="spellStart"/>
      <w:r w:rsidRPr="00A73DA9">
        <w:rPr>
          <w:rFonts w:hint="eastAsia"/>
        </w:rPr>
        <w:t>MVaR</w:t>
      </w:r>
      <w:proofErr w:type="spellEnd"/>
      <w:r w:rsidRPr="00A73DA9">
        <w:rPr>
          <w:rFonts w:hint="eastAsia"/>
        </w:rPr>
        <w:t xml:space="preserve"> </w:t>
      </w:r>
      <w:r>
        <w:rPr>
          <w:rFonts w:hint="eastAsia"/>
        </w:rPr>
        <w:t>al</w:t>
      </w:r>
      <w:r w:rsidRPr="00A73DA9">
        <w:rPr>
          <w:rFonts w:hint="eastAsia"/>
        </w:rPr>
        <w:t>lows for the measureme</w:t>
      </w:r>
      <w:r>
        <w:t>nt of ri</w:t>
      </w:r>
      <w:r>
        <w:rPr>
          <w:rFonts w:hint="eastAsia"/>
        </w:rPr>
        <w:t>sk</w:t>
      </w:r>
      <w:r w:rsidRPr="00A73DA9">
        <w:rPr>
          <w:rFonts w:hint="eastAsia"/>
        </w:rPr>
        <w:t xml:space="preserve"> for portfolios with assets </w:t>
      </w:r>
      <w:r>
        <w:rPr>
          <w:rFonts w:hint="eastAsia"/>
        </w:rPr>
        <w:t>that do not fo</w:t>
      </w:r>
      <w:r w:rsidRPr="00A73DA9">
        <w:rPr>
          <w:rFonts w:hint="eastAsia"/>
        </w:rPr>
        <w:t xml:space="preserve">llow </w:t>
      </w:r>
      <w:r>
        <w:rPr>
          <w:rFonts w:hint="eastAsia"/>
        </w:rPr>
        <w:t xml:space="preserve">a </w:t>
      </w:r>
      <w:r>
        <w:t>no</w:t>
      </w:r>
      <w:r w:rsidRPr="00A73DA9">
        <w:rPr>
          <w:rFonts w:hint="eastAsia"/>
        </w:rPr>
        <w:t>rmal distribution (such a</w:t>
      </w:r>
      <w:r>
        <w:rPr>
          <w:rFonts w:hint="eastAsia"/>
        </w:rPr>
        <w:t xml:space="preserve">s </w:t>
      </w:r>
      <w:r>
        <w:t>he</w:t>
      </w:r>
      <w:r>
        <w:rPr>
          <w:rFonts w:hint="eastAsia"/>
        </w:rPr>
        <w:t>dg</w:t>
      </w:r>
      <w:r w:rsidRPr="00A73DA9">
        <w:rPr>
          <w:rFonts w:hint="eastAsia"/>
        </w:rPr>
        <w:t xml:space="preserve">e funds or </w:t>
      </w:r>
      <w:r>
        <w:rPr>
          <w:rFonts w:hint="eastAsia"/>
        </w:rPr>
        <w:t>te</w:t>
      </w:r>
      <w:r w:rsidRPr="00A73DA9">
        <w:rPr>
          <w:rFonts w:hint="eastAsia"/>
        </w:rPr>
        <w:t>ch stocks) and c</w:t>
      </w:r>
      <w:r>
        <w:rPr>
          <w:rFonts w:hint="eastAsia"/>
        </w:rPr>
        <w:t>an</w:t>
      </w:r>
      <w:r w:rsidRPr="00A73DA9">
        <w:rPr>
          <w:rFonts w:hint="eastAsia"/>
        </w:rPr>
        <w:t xml:space="preserve"> b</w:t>
      </w:r>
      <w:r>
        <w:rPr>
          <w:rFonts w:hint="eastAsia"/>
        </w:rPr>
        <w:t>e used to d</w:t>
      </w:r>
      <w:r w:rsidRPr="00A73DA9">
        <w:rPr>
          <w:rFonts w:hint="eastAsia"/>
        </w:rPr>
        <w:t>etermine op</w:t>
      </w:r>
      <w:r>
        <w:t>timal po</w:t>
      </w:r>
      <w:r>
        <w:rPr>
          <w:rFonts w:hint="eastAsia"/>
        </w:rPr>
        <w:t>rt</w:t>
      </w:r>
      <w:r w:rsidRPr="00A73DA9">
        <w:rPr>
          <w:rFonts w:hint="eastAsia"/>
        </w:rPr>
        <w:t>fo</w:t>
      </w:r>
      <w:r>
        <w:rPr>
          <w:rFonts w:hint="eastAsia"/>
        </w:rPr>
        <w:t xml:space="preserve">lios </w:t>
      </w:r>
      <w:r w:rsidRPr="00A73DA9">
        <w:rPr>
          <w:rFonts w:hint="eastAsia"/>
        </w:rPr>
        <w:t xml:space="preserve">by minimizing </w:t>
      </w:r>
      <w:proofErr w:type="spellStart"/>
      <w:r w:rsidRPr="00A73DA9">
        <w:rPr>
          <w:rFonts w:hint="eastAsia"/>
        </w:rPr>
        <w:t>MVaR</w:t>
      </w:r>
      <w:proofErr w:type="spellEnd"/>
      <w:r w:rsidRPr="00A73DA9">
        <w:rPr>
          <w:rFonts w:hint="eastAsia"/>
        </w:rPr>
        <w:t xml:space="preserve"> at a given confidence level.</w:t>
      </w:r>
    </w:p>
    <w:p w14:paraId="6511F536" w14:textId="77777777" w:rsidR="0071001D" w:rsidRDefault="002B2458" w:rsidP="002B2458">
      <w:pPr>
        <w:ind w:firstLine="480"/>
      </w:pPr>
      <w:r>
        <w:rPr>
          <w:rFonts w:hint="eastAsia"/>
        </w:rPr>
        <w:t>In summary, Value at Risk is the current mainstream method for measuring risk. Its calculation has evolved from a simple normal distribution to more complex methods through the research of various scholars. For the convenience of readers, this study will adopt the normal distribution method for calculating Value at Risk.</w:t>
      </w:r>
    </w:p>
    <w:p w14:paraId="139304C7" w14:textId="410EE73B" w:rsidR="0071001D" w:rsidRDefault="000E451A" w:rsidP="002B7CE8">
      <w:pPr>
        <w:pStyle w:val="Title"/>
        <w:ind w:firstLineChars="62" w:firstLine="199"/>
        <w:jc w:val="both"/>
      </w:pPr>
      <w:bookmarkStart w:id="7" w:name="_Toc113394887"/>
      <w:r>
        <w:rPr>
          <w:rFonts w:hint="eastAsia"/>
        </w:rPr>
        <w:t>3</w:t>
      </w:r>
      <w:r w:rsidR="002B7CE8">
        <w:t>.</w:t>
      </w:r>
      <w:r>
        <w:rPr>
          <w:rFonts w:hint="eastAsia"/>
        </w:rPr>
        <w:t xml:space="preserve"> Rese</w:t>
      </w:r>
      <w:r w:rsidR="002B2458">
        <w:t>arch Methodology</w:t>
      </w:r>
      <w:bookmarkEnd w:id="7"/>
    </w:p>
    <w:p w14:paraId="0A2AFE45" w14:textId="2107489E" w:rsidR="00475FC5" w:rsidRDefault="00475FC5" w:rsidP="00475FC5">
      <w:pPr>
        <w:pStyle w:val="a0"/>
      </w:pPr>
      <w:r>
        <w:rPr>
          <w:rFonts w:hint="eastAsia"/>
        </w:rPr>
        <w:t xml:space="preserve">This </w:t>
      </w:r>
      <w:r w:rsidR="001443CB">
        <w:rPr>
          <w:rFonts w:hint="eastAsia"/>
        </w:rPr>
        <w:t>section</w:t>
      </w:r>
      <w:r>
        <w:rPr>
          <w:rFonts w:hint="eastAsia"/>
        </w:rPr>
        <w:t xml:space="preserve"> first lists the research subjects. The second step explains the Capital Adequacy Ratio used by insurance companies, relevant regulations and measures, and the method used in this study to categorize the Capital Adequacy Ratio. The third step </w:t>
      </w:r>
      <w:r>
        <w:rPr>
          <w:rFonts w:hint="eastAsia"/>
        </w:rPr>
        <w:lastRenderedPageBreak/>
        <w:t>describes the ordinal logistic model and the risk areas of financial holding parent companies used for model prediction. Finally, the calculation method for stock price Value at Risk is introduced.</w:t>
      </w:r>
    </w:p>
    <w:p w14:paraId="2E69447B" w14:textId="7ED698F9" w:rsidR="002B2458" w:rsidRDefault="00DE6038" w:rsidP="00DE6038">
      <w:pPr>
        <w:ind w:firstLineChars="0" w:firstLine="0"/>
      </w:pPr>
      <w:bookmarkStart w:id="8" w:name="_Toc113394888"/>
      <w:r>
        <w:rPr>
          <w:rFonts w:hint="eastAsia"/>
        </w:rPr>
        <w:t>3</w:t>
      </w:r>
      <w:r w:rsidR="00D70FCC">
        <w:t>.</w:t>
      </w:r>
      <w:r>
        <w:rPr>
          <w:rFonts w:hint="eastAsia"/>
        </w:rPr>
        <w:t>1 Resear</w:t>
      </w:r>
      <w:r w:rsidR="00475FC5">
        <w:rPr>
          <w:rFonts w:hint="eastAsia"/>
        </w:rPr>
        <w:t>ch Subjects</w:t>
      </w:r>
      <w:bookmarkEnd w:id="8"/>
    </w:p>
    <w:p w14:paraId="1774EAFE" w14:textId="0B87BA2E" w:rsidR="00475FC5" w:rsidRDefault="00475FC5" w:rsidP="00475FC5">
      <w:pPr>
        <w:pStyle w:val="a0"/>
      </w:pPr>
      <w:r>
        <w:rPr>
          <w:rFonts w:hint="eastAsia"/>
        </w:rPr>
        <w:t>The data for this study was obtained from the Taiwan Economic Journal (</w:t>
      </w:r>
      <w:r>
        <w:t>TEJ) database. This resea</w:t>
      </w:r>
      <w:r>
        <w:rPr>
          <w:rFonts w:hint="eastAsia"/>
        </w:rPr>
        <w:t>rch focuses on nine financial holding companies in Taiwan's listed financial insurance industry that have significant life insurance subsidiaries. The observation period covers three years, from 2019 to 2021</w:t>
      </w:r>
      <w:r>
        <w:t xml:space="preserve">. The financial </w:t>
      </w:r>
      <w:r>
        <w:rPr>
          <w:rFonts w:hint="eastAsia"/>
        </w:rPr>
        <w:t xml:space="preserve">holding </w:t>
      </w:r>
      <w:r>
        <w:t>companies in Tai</w:t>
      </w:r>
      <w:r>
        <w:rPr>
          <w:rFonts w:hint="eastAsia"/>
        </w:rPr>
        <w:t xml:space="preserve">wan with life insurance subsidiaries are Fubon Financial Holding, Cathay Financial Holding, CDIB Capital, Yuanta Financial Holding, </w:t>
      </w:r>
      <w:proofErr w:type="spellStart"/>
      <w:r>
        <w:rPr>
          <w:rFonts w:hint="eastAsia"/>
        </w:rPr>
        <w:t>Taishin</w:t>
      </w:r>
      <w:proofErr w:type="spellEnd"/>
      <w:r>
        <w:rPr>
          <w:rFonts w:hint="eastAsia"/>
        </w:rPr>
        <w:t xml:space="preserve"> Financial Holding, Shin Kong Financial Holding, CTBC Financial Holding, First Financial Holding, and</w:t>
      </w:r>
      <w:r w:rsidR="00570012">
        <w:rPr>
          <w:rFonts w:hint="eastAsia"/>
        </w:rPr>
        <w:t xml:space="preserve"> </w:t>
      </w:r>
      <w:bookmarkStart w:id="9" w:name="OLE_LINK3"/>
      <w:r w:rsidR="00570012">
        <w:t xml:space="preserve">Taiwan Cooperative Financial Holding </w:t>
      </w:r>
      <w:proofErr w:type="spellStart"/>
      <w:r w:rsidR="00570012">
        <w:t>Co.Ltd</w:t>
      </w:r>
      <w:proofErr w:type="spellEnd"/>
      <w:r>
        <w:rPr>
          <w:rFonts w:hint="eastAsia"/>
        </w:rPr>
        <w:t>.</w:t>
      </w:r>
      <w:bookmarkEnd w:id="9"/>
      <w:r>
        <w:rPr>
          <w:rFonts w:hint="eastAsia"/>
        </w:rPr>
        <w:t xml:space="preserve"> The reason for selecting life insurance companies is that this study uses the Value at Risk of financial holding companies' stock prices and compares it with the Capital Adequacy Ratio of insurance companies. Since the calculation methods for the Capital Adequacy Ratio of life insurance companies and property insurance companies differ, we have uniformly selected financial holding companies with life insurance subsidiaries for this st</w:t>
      </w:r>
      <w:r>
        <w:t xml:space="preserve">udy. </w:t>
      </w:r>
      <w:r w:rsidR="00612B00">
        <w:t>Table</w:t>
      </w:r>
      <w:r w:rsidR="005376CF">
        <w:t xml:space="preserve"> </w:t>
      </w:r>
      <w:r>
        <w:rPr>
          <w:rFonts w:hint="eastAsia"/>
        </w:rPr>
        <w:t>1 lists the stock codes of Taiwanese financial holding companies and their respective life insurance companies.</w:t>
      </w:r>
    </w:p>
    <w:p w14:paraId="04A2FEE9" w14:textId="42DFC9DD" w:rsidR="00570012" w:rsidRDefault="00570012" w:rsidP="00570012">
      <w:pPr>
        <w:ind w:firstLineChars="0" w:firstLine="0"/>
      </w:pPr>
      <w:r>
        <w:rPr>
          <w:rFonts w:hint="eastAsia"/>
        </w:rPr>
        <w:t>3</w:t>
      </w:r>
      <w:r w:rsidR="00D70FCC">
        <w:t>.</w:t>
      </w:r>
      <w:r>
        <w:rPr>
          <w:rFonts w:hint="eastAsia"/>
        </w:rPr>
        <w:t>2 Capital Adequacy Ratio of Insurance Enterprises</w:t>
      </w:r>
    </w:p>
    <w:p w14:paraId="7C19D309" w14:textId="77777777" w:rsidR="00570012" w:rsidRDefault="00570012" w:rsidP="00570012">
      <w:pPr>
        <w:pStyle w:val="a0"/>
      </w:pPr>
      <w:r w:rsidRPr="000C19ED">
        <w:rPr>
          <w:rFonts w:hint="eastAsia"/>
        </w:rPr>
        <w:t>The draft Regulations Governing the Capital Adequacy of Insurance Enterprises, issued by the Ministry of Finance, stipulated that the Capital Adequacy Ratio of insurance enterprises must not be lower than 200%, with a two-year grace period. The new regulations took effect on July 9, 2003. Those not meeting the standards were required to increase capital or reduce ris</w:t>
      </w:r>
      <w:r>
        <w:rPr>
          <w:rFonts w:hint="eastAsia"/>
        </w:rPr>
        <w:t>ky a</w:t>
      </w:r>
      <w:r>
        <w:t>sset</w:t>
      </w:r>
      <w:r w:rsidRPr="000C19ED">
        <w:rPr>
          <w:rFonts w:hint="eastAsia"/>
        </w:rPr>
        <w:t>s such as in</w:t>
      </w:r>
      <w:r>
        <w:rPr>
          <w:rFonts w:hint="eastAsia"/>
        </w:rPr>
        <w:t>vest</w:t>
      </w:r>
      <w:r>
        <w:t>ments (Liu Ching-</w:t>
      </w:r>
      <w:proofErr w:type="spellStart"/>
      <w:r>
        <w:t>chun</w:t>
      </w:r>
      <w:proofErr w:type="spellEnd"/>
      <w:r w:rsidRPr="000C19ED">
        <w:rPr>
          <w:rFonts w:hint="eastAsia"/>
        </w:rPr>
        <w:t>, 2002).</w:t>
      </w:r>
    </w:p>
    <w:p w14:paraId="05C1E86C" w14:textId="77777777" w:rsidR="00570012" w:rsidRDefault="00570012" w:rsidP="00570012">
      <w:pPr>
        <w:pStyle w:val="a0"/>
      </w:pPr>
      <w:r w:rsidRPr="004C2259">
        <w:rPr>
          <w:rFonts w:hint="eastAsia"/>
        </w:rPr>
        <w:t>The Regulations Governing the Capital Adequacy of In</w:t>
      </w:r>
      <w:r>
        <w:rPr>
          <w:rFonts w:hint="eastAsia"/>
        </w:rPr>
        <w:t>sura</w:t>
      </w:r>
      <w:r>
        <w:t xml:space="preserve">nce </w:t>
      </w:r>
      <w:r>
        <w:rPr>
          <w:rFonts w:hint="eastAsia"/>
        </w:rPr>
        <w:t xml:space="preserve">Enterprises (hereinafter referred </w:t>
      </w:r>
      <w:r>
        <w:t>to a</w:t>
      </w:r>
      <w:r w:rsidRPr="0019119D">
        <w:rPr>
          <w:rFonts w:hint="eastAsia"/>
        </w:rPr>
        <w:t xml:space="preserve">s 'these Regulations') are established in accordance with the fourth paragraph of Article 143-4 and the third paragraph of Article 148-2 of the Insurance </w:t>
      </w:r>
      <w:r>
        <w:rPr>
          <w:rFonts w:hint="eastAsia"/>
        </w:rPr>
        <w:t>Act. The 'equity capital' mentioned in the Insurance</w:t>
      </w:r>
      <w:r w:rsidRPr="00220CC4">
        <w:rPr>
          <w:rFonts w:hint="eastAsia"/>
        </w:rPr>
        <w:t xml:space="preserve"> Act refers to the total </w:t>
      </w:r>
      <w:r w:rsidRPr="00220CC4">
        <w:rPr>
          <w:rFonts w:hint="eastAsia"/>
        </w:rPr>
        <w:lastRenderedPageBreak/>
        <w:t>capital recognized by the competent authority in accordance with these Regulations; its scope includes:</w:t>
      </w:r>
    </w:p>
    <w:p w14:paraId="7AFE3D4A" w14:textId="3F7112EB" w:rsidR="00570012" w:rsidRDefault="00570012" w:rsidP="00D70FCC">
      <w:pPr>
        <w:pStyle w:val="a0"/>
        <w:numPr>
          <w:ilvl w:val="0"/>
          <w:numId w:val="2"/>
        </w:numPr>
        <w:ind w:firstLineChars="0"/>
      </w:pPr>
      <w:r w:rsidRPr="00220CC4">
        <w:rPr>
          <w:rFonts w:hint="eastAsia"/>
        </w:rPr>
        <w:t>Recognized owner's equity.</w:t>
      </w:r>
    </w:p>
    <w:p w14:paraId="068239B8" w14:textId="77777777" w:rsidR="00570012" w:rsidRDefault="00570012" w:rsidP="00570012">
      <w:pPr>
        <w:pStyle w:val="a0"/>
        <w:numPr>
          <w:ilvl w:val="0"/>
          <w:numId w:val="2"/>
        </w:numPr>
        <w:ind w:firstLineChars="0"/>
      </w:pPr>
      <w:r w:rsidRPr="00220CC4">
        <w:rPr>
          <w:rFonts w:hint="eastAsia"/>
        </w:rPr>
        <w:t>Other adjustment items as stipulated by the competent authority.</w:t>
      </w:r>
    </w:p>
    <w:p w14:paraId="2E98C24E" w14:textId="77777777" w:rsidR="00D70FCC" w:rsidRDefault="00D70FCC" w:rsidP="00475FC5">
      <w:pPr>
        <w:pStyle w:val="a2"/>
        <w:ind w:firstLine="480"/>
      </w:pPr>
      <w:bookmarkStart w:id="10" w:name="_Toc113394912"/>
    </w:p>
    <w:p w14:paraId="7B67D09C" w14:textId="1A64F85D" w:rsidR="00475FC5" w:rsidRDefault="00612B00" w:rsidP="00475FC5">
      <w:pPr>
        <w:pStyle w:val="a2"/>
        <w:ind w:firstLine="480"/>
      </w:pPr>
      <w:r>
        <w:rPr>
          <w:rFonts w:hint="eastAsia"/>
        </w:rPr>
        <w:t>Table</w:t>
      </w:r>
      <w:r w:rsidR="005376CF">
        <w:t xml:space="preserve"> </w:t>
      </w:r>
      <w:r w:rsidR="00475FC5">
        <w:rPr>
          <w:rFonts w:hint="eastAsia"/>
        </w:rPr>
        <w:t>1 Life Insurance Subsidiaries of Taiwanese Financial Holding Companies</w:t>
      </w:r>
      <w:r w:rsidR="00475FC5">
        <w:fldChar w:fldCharType="begin"/>
      </w:r>
      <w:r w:rsidR="00475FC5">
        <w:instrText xml:space="preserve"> </w:instrText>
      </w:r>
      <w:r w:rsidR="00475FC5">
        <w:rPr>
          <w:rFonts w:hint="eastAsia"/>
        </w:rPr>
        <w:instrText xml:space="preserve">SEQ </w:instrText>
      </w:r>
      <w:r w:rsidR="00475FC5">
        <w:rPr>
          <w:rFonts w:hint="eastAsia"/>
        </w:rPr>
        <w:instrText>表</w:instrText>
      </w:r>
      <w:r w:rsidR="00475FC5">
        <w:rPr>
          <w:rFonts w:hint="eastAsia"/>
        </w:rPr>
        <w:instrText>3. \* ARABIC</w:instrText>
      </w:r>
      <w:r w:rsidR="00475FC5">
        <w:instrText xml:space="preserve"> </w:instrText>
      </w:r>
      <w:r w:rsidR="00000000">
        <w:fldChar w:fldCharType="separate"/>
      </w:r>
      <w:r w:rsidR="00475FC5">
        <w:fldChar w:fldCharType="end"/>
      </w:r>
      <w:bookmarkEnd w:id="10"/>
    </w:p>
    <w:tbl>
      <w:tblPr>
        <w:tblStyle w:val="TableGrid"/>
        <w:tblW w:w="0" w:type="auto"/>
        <w:tblLook w:val="04A0" w:firstRow="1" w:lastRow="0" w:firstColumn="1" w:lastColumn="0" w:noHBand="0" w:noVBand="1"/>
      </w:tblPr>
      <w:tblGrid>
        <w:gridCol w:w="2972"/>
        <w:gridCol w:w="1483"/>
        <w:gridCol w:w="1041"/>
        <w:gridCol w:w="2800"/>
      </w:tblGrid>
      <w:tr w:rsidR="00233AFC" w14:paraId="03C305C4" w14:textId="77777777" w:rsidTr="007B5E1D">
        <w:tc>
          <w:tcPr>
            <w:tcW w:w="2972" w:type="dxa"/>
            <w:vAlign w:val="center"/>
          </w:tcPr>
          <w:p w14:paraId="58BAF5AB" w14:textId="181AADED" w:rsidR="00475FC5" w:rsidRPr="009304D8" w:rsidRDefault="00475FC5" w:rsidP="00233AFC">
            <w:pPr>
              <w:ind w:firstLineChars="0" w:firstLine="0"/>
              <w:jc w:val="left"/>
            </w:pPr>
            <w:r>
              <w:rPr>
                <w:rFonts w:hint="eastAsia"/>
              </w:rPr>
              <w:t>Financial</w:t>
            </w:r>
            <w:r w:rsidR="001443CB">
              <w:t xml:space="preserve"> </w:t>
            </w:r>
            <w:r w:rsidR="00233AFC">
              <w:t>h</w:t>
            </w:r>
            <w:r>
              <w:rPr>
                <w:rFonts w:hint="eastAsia"/>
              </w:rPr>
              <w:t>olding Company Name</w:t>
            </w:r>
          </w:p>
        </w:tc>
        <w:tc>
          <w:tcPr>
            <w:tcW w:w="1298" w:type="dxa"/>
            <w:vAlign w:val="center"/>
          </w:tcPr>
          <w:p w14:paraId="176F8AD9" w14:textId="77777777" w:rsidR="00475FC5" w:rsidRDefault="00475FC5" w:rsidP="001443CB">
            <w:pPr>
              <w:ind w:firstLineChars="0" w:firstLine="0"/>
            </w:pPr>
            <w:r>
              <w:rPr>
                <w:rFonts w:hint="eastAsia"/>
              </w:rPr>
              <w:t>Abbreviation</w:t>
            </w:r>
          </w:p>
        </w:tc>
        <w:tc>
          <w:tcPr>
            <w:tcW w:w="0" w:type="auto"/>
            <w:vAlign w:val="center"/>
          </w:tcPr>
          <w:p w14:paraId="2D2E65A0" w14:textId="77777777" w:rsidR="00475FC5" w:rsidRDefault="00475FC5" w:rsidP="007B5E1D">
            <w:pPr>
              <w:ind w:firstLineChars="0" w:firstLine="0"/>
              <w:jc w:val="center"/>
            </w:pPr>
            <w:r>
              <w:rPr>
                <w:rFonts w:hint="eastAsia"/>
              </w:rPr>
              <w:t>Stock Code</w:t>
            </w:r>
          </w:p>
          <w:p w14:paraId="67FD66D7" w14:textId="77777777" w:rsidR="00475FC5" w:rsidRPr="009304D8" w:rsidRDefault="00475FC5" w:rsidP="001443CB">
            <w:pPr>
              <w:ind w:firstLine="480"/>
              <w:jc w:val="distribute"/>
            </w:pPr>
          </w:p>
        </w:tc>
        <w:tc>
          <w:tcPr>
            <w:tcW w:w="0" w:type="auto"/>
            <w:vAlign w:val="center"/>
          </w:tcPr>
          <w:p w14:paraId="7F5F3D63" w14:textId="6B8CEADA" w:rsidR="00475FC5" w:rsidRPr="009304D8" w:rsidRDefault="00475FC5" w:rsidP="007B5E1D">
            <w:pPr>
              <w:ind w:firstLineChars="0" w:firstLine="0"/>
              <w:jc w:val="left"/>
            </w:pPr>
            <w:r>
              <w:rPr>
                <w:rFonts w:hint="eastAsia"/>
              </w:rPr>
              <w:t>Life</w:t>
            </w:r>
            <w:r w:rsidR="001443CB">
              <w:t xml:space="preserve"> </w:t>
            </w:r>
            <w:r w:rsidR="00233AFC">
              <w:t>I</w:t>
            </w:r>
            <w:r>
              <w:rPr>
                <w:rFonts w:hint="eastAsia"/>
              </w:rPr>
              <w:t>nsurance Company Under Financial Holding Company</w:t>
            </w:r>
          </w:p>
        </w:tc>
      </w:tr>
      <w:tr w:rsidR="00233AFC" w14:paraId="2CD46EBB" w14:textId="77777777" w:rsidTr="007B5E1D">
        <w:tc>
          <w:tcPr>
            <w:tcW w:w="2972" w:type="dxa"/>
            <w:vAlign w:val="center"/>
          </w:tcPr>
          <w:p w14:paraId="6BC0DAFC" w14:textId="77777777" w:rsidR="00475FC5" w:rsidRPr="00551D6A" w:rsidRDefault="00475FC5" w:rsidP="00233AFC">
            <w:pPr>
              <w:ind w:firstLineChars="0" w:firstLine="0"/>
              <w:jc w:val="left"/>
            </w:pPr>
            <w:r w:rsidRPr="00551D6A">
              <w:t>Fubon Financial Holding Co., Ltd.</w:t>
            </w:r>
          </w:p>
        </w:tc>
        <w:tc>
          <w:tcPr>
            <w:tcW w:w="1298" w:type="dxa"/>
            <w:vAlign w:val="center"/>
          </w:tcPr>
          <w:p w14:paraId="609DEAE2" w14:textId="77777777" w:rsidR="00475FC5" w:rsidRDefault="00475FC5" w:rsidP="00233AFC">
            <w:pPr>
              <w:ind w:firstLineChars="0" w:firstLine="0"/>
              <w:rPr>
                <w:rFonts w:cstheme="minorHAnsi"/>
              </w:rPr>
            </w:pPr>
            <w:r>
              <w:t>FBND</w:t>
            </w:r>
          </w:p>
        </w:tc>
        <w:tc>
          <w:tcPr>
            <w:tcW w:w="0" w:type="auto"/>
            <w:vAlign w:val="center"/>
          </w:tcPr>
          <w:p w14:paraId="2548CB53" w14:textId="77777777" w:rsidR="00475FC5" w:rsidRPr="009304D8" w:rsidRDefault="00475FC5" w:rsidP="00233AFC">
            <w:pPr>
              <w:ind w:firstLineChars="83" w:firstLine="199"/>
              <w:jc w:val="left"/>
            </w:pPr>
            <w:r>
              <w:rPr>
                <w:rFonts w:hint="eastAsia"/>
              </w:rPr>
              <w:t>2881</w:t>
            </w:r>
          </w:p>
        </w:tc>
        <w:tc>
          <w:tcPr>
            <w:tcW w:w="0" w:type="auto"/>
            <w:vAlign w:val="center"/>
          </w:tcPr>
          <w:p w14:paraId="74AD0637" w14:textId="77777777" w:rsidR="00475FC5" w:rsidRPr="009304D8" w:rsidRDefault="00475FC5" w:rsidP="007B5E1D">
            <w:pPr>
              <w:ind w:firstLineChars="0" w:firstLine="0"/>
              <w:jc w:val="left"/>
              <w:rPr>
                <w:rFonts w:cstheme="minorHAnsi"/>
              </w:rPr>
            </w:pPr>
            <w:r w:rsidRPr="009304D8">
              <w:rPr>
                <w:rFonts w:cstheme="minorHAnsi" w:hint="eastAsia"/>
              </w:rPr>
              <w:t>Fubon Life Insurance Co., Ltd.</w:t>
            </w:r>
          </w:p>
        </w:tc>
      </w:tr>
      <w:tr w:rsidR="00233AFC" w14:paraId="789E5AB4" w14:textId="77777777" w:rsidTr="007B5E1D">
        <w:tc>
          <w:tcPr>
            <w:tcW w:w="2972" w:type="dxa"/>
            <w:vAlign w:val="center"/>
          </w:tcPr>
          <w:p w14:paraId="6CA8D46C" w14:textId="047F9082" w:rsidR="00475FC5" w:rsidRPr="00093B55" w:rsidRDefault="00475FC5" w:rsidP="00233AFC">
            <w:pPr>
              <w:ind w:firstLineChars="0" w:firstLine="0"/>
              <w:jc w:val="left"/>
            </w:pPr>
            <w:r w:rsidRPr="00551D6A">
              <w:t>Cathay</w:t>
            </w:r>
            <w:r w:rsidR="00233AFC">
              <w:t xml:space="preserve"> </w:t>
            </w:r>
            <w:r w:rsidR="00614562">
              <w:t>Financial H</w:t>
            </w:r>
            <w:r w:rsidRPr="00551D6A">
              <w:t>olding Co., Ltd.</w:t>
            </w:r>
          </w:p>
        </w:tc>
        <w:tc>
          <w:tcPr>
            <w:tcW w:w="1298" w:type="dxa"/>
            <w:vAlign w:val="center"/>
          </w:tcPr>
          <w:p w14:paraId="23EA20EE" w14:textId="77777777" w:rsidR="00475FC5" w:rsidRDefault="00475FC5" w:rsidP="00233AFC">
            <w:pPr>
              <w:ind w:firstLineChars="0" w:firstLine="0"/>
              <w:rPr>
                <w:rFonts w:cstheme="minorHAnsi"/>
              </w:rPr>
            </w:pPr>
            <w:r>
              <w:t>CFHS</w:t>
            </w:r>
          </w:p>
        </w:tc>
        <w:tc>
          <w:tcPr>
            <w:tcW w:w="0" w:type="auto"/>
            <w:vAlign w:val="center"/>
          </w:tcPr>
          <w:p w14:paraId="67FE214D" w14:textId="77777777" w:rsidR="00475FC5" w:rsidRPr="009304D8" w:rsidRDefault="00475FC5" w:rsidP="00233AFC">
            <w:pPr>
              <w:ind w:firstLineChars="83" w:firstLine="199"/>
              <w:jc w:val="left"/>
            </w:pPr>
            <w:r>
              <w:rPr>
                <w:rFonts w:hint="eastAsia"/>
              </w:rPr>
              <w:t>2882</w:t>
            </w:r>
          </w:p>
        </w:tc>
        <w:tc>
          <w:tcPr>
            <w:tcW w:w="0" w:type="auto"/>
            <w:vAlign w:val="center"/>
          </w:tcPr>
          <w:p w14:paraId="1B5074D2" w14:textId="77777777" w:rsidR="00475FC5" w:rsidRPr="009304D8" w:rsidRDefault="00475FC5" w:rsidP="007B5E1D">
            <w:pPr>
              <w:ind w:firstLineChars="0" w:firstLine="0"/>
              <w:jc w:val="left"/>
              <w:rPr>
                <w:rFonts w:cstheme="minorHAnsi"/>
              </w:rPr>
            </w:pPr>
            <w:r w:rsidRPr="009304D8">
              <w:rPr>
                <w:rFonts w:cstheme="minorHAnsi" w:hint="eastAsia"/>
              </w:rPr>
              <w:t>Cathay Life Insurance Co., Ltd.</w:t>
            </w:r>
          </w:p>
        </w:tc>
      </w:tr>
      <w:tr w:rsidR="00233AFC" w14:paraId="6A0DF923" w14:textId="77777777" w:rsidTr="007B5E1D">
        <w:trPr>
          <w:trHeight w:val="1083"/>
        </w:trPr>
        <w:tc>
          <w:tcPr>
            <w:tcW w:w="2972" w:type="dxa"/>
            <w:vAlign w:val="center"/>
          </w:tcPr>
          <w:p w14:paraId="266945CE" w14:textId="5A1B0EEF" w:rsidR="00475FC5" w:rsidRPr="00551D6A" w:rsidRDefault="00475FC5" w:rsidP="00233AFC">
            <w:pPr>
              <w:ind w:firstLineChars="0" w:firstLine="0"/>
              <w:jc w:val="left"/>
            </w:pPr>
            <w:r w:rsidRPr="00551D6A">
              <w:t>China</w:t>
            </w:r>
            <w:r w:rsidR="00233AFC">
              <w:t xml:space="preserve"> </w:t>
            </w:r>
            <w:r w:rsidR="0067735A">
              <w:t>D</w:t>
            </w:r>
            <w:r w:rsidRPr="00551D6A">
              <w:t>evelopment Financial Holding Corporation</w:t>
            </w:r>
          </w:p>
        </w:tc>
        <w:tc>
          <w:tcPr>
            <w:tcW w:w="1298" w:type="dxa"/>
            <w:vAlign w:val="center"/>
          </w:tcPr>
          <w:p w14:paraId="2FA7A81C" w14:textId="77777777" w:rsidR="00475FC5" w:rsidRDefault="00475FC5" w:rsidP="00233AFC">
            <w:pPr>
              <w:ind w:firstLineChars="0" w:firstLine="0"/>
              <w:rPr>
                <w:rFonts w:cstheme="minorHAnsi"/>
              </w:rPr>
            </w:pPr>
            <w:r>
              <w:t>CDFH</w:t>
            </w:r>
          </w:p>
        </w:tc>
        <w:tc>
          <w:tcPr>
            <w:tcW w:w="0" w:type="auto"/>
            <w:vAlign w:val="center"/>
          </w:tcPr>
          <w:p w14:paraId="4DE8FD75" w14:textId="77777777" w:rsidR="00475FC5" w:rsidRDefault="00475FC5" w:rsidP="00233AFC">
            <w:pPr>
              <w:ind w:firstLineChars="83" w:firstLine="199"/>
              <w:jc w:val="left"/>
            </w:pPr>
            <w:r>
              <w:t>2883</w:t>
            </w:r>
          </w:p>
        </w:tc>
        <w:tc>
          <w:tcPr>
            <w:tcW w:w="0" w:type="auto"/>
            <w:vAlign w:val="center"/>
          </w:tcPr>
          <w:p w14:paraId="7E504FAF" w14:textId="260B559A" w:rsidR="00475FC5" w:rsidRPr="00194293" w:rsidRDefault="00475FC5" w:rsidP="007B5E1D">
            <w:pPr>
              <w:ind w:firstLineChars="0" w:firstLine="0"/>
              <w:jc w:val="left"/>
              <w:rPr>
                <w:rFonts w:ascii="新細明體" w:hAnsi="新細明體"/>
              </w:rPr>
            </w:pPr>
            <w:r>
              <w:t>China</w:t>
            </w:r>
            <w:r w:rsidR="007B5E1D">
              <w:t xml:space="preserve"> </w:t>
            </w:r>
            <w:r>
              <w:t>Life Insurance Co., Ltd.</w:t>
            </w:r>
          </w:p>
        </w:tc>
      </w:tr>
      <w:tr w:rsidR="00233AFC" w14:paraId="664D7843" w14:textId="77777777" w:rsidTr="007B5E1D">
        <w:tc>
          <w:tcPr>
            <w:tcW w:w="2972" w:type="dxa"/>
            <w:vAlign w:val="center"/>
          </w:tcPr>
          <w:p w14:paraId="351BAAA1" w14:textId="77777777" w:rsidR="00475FC5" w:rsidRPr="00551D6A" w:rsidRDefault="00475FC5" w:rsidP="00233AFC">
            <w:pPr>
              <w:ind w:firstLineChars="0" w:firstLine="0"/>
            </w:pPr>
            <w:r w:rsidRPr="00551D6A">
              <w:t>Yuanta Financial Holding Co., Ltd.</w:t>
            </w:r>
          </w:p>
        </w:tc>
        <w:tc>
          <w:tcPr>
            <w:tcW w:w="1298" w:type="dxa"/>
            <w:vAlign w:val="center"/>
          </w:tcPr>
          <w:p w14:paraId="016DA015" w14:textId="77777777" w:rsidR="00475FC5" w:rsidRDefault="00475FC5" w:rsidP="00233AFC">
            <w:pPr>
              <w:ind w:firstLineChars="0" w:firstLine="0"/>
              <w:rPr>
                <w:rFonts w:cstheme="minorHAnsi"/>
              </w:rPr>
            </w:pPr>
            <w:r>
              <w:t>YFH</w:t>
            </w:r>
          </w:p>
        </w:tc>
        <w:tc>
          <w:tcPr>
            <w:tcW w:w="0" w:type="auto"/>
            <w:vAlign w:val="center"/>
          </w:tcPr>
          <w:p w14:paraId="65A304F1" w14:textId="77777777" w:rsidR="00475FC5" w:rsidRPr="009304D8" w:rsidRDefault="00475FC5" w:rsidP="00233AFC">
            <w:pPr>
              <w:ind w:firstLineChars="83" w:firstLine="199"/>
              <w:jc w:val="left"/>
            </w:pPr>
            <w:r>
              <w:rPr>
                <w:rFonts w:hint="eastAsia"/>
              </w:rPr>
              <w:t>2885</w:t>
            </w:r>
          </w:p>
        </w:tc>
        <w:tc>
          <w:tcPr>
            <w:tcW w:w="0" w:type="auto"/>
            <w:vAlign w:val="center"/>
          </w:tcPr>
          <w:p w14:paraId="3A017E0C" w14:textId="77777777" w:rsidR="00475FC5" w:rsidRPr="009304D8" w:rsidRDefault="00475FC5" w:rsidP="007B5E1D">
            <w:pPr>
              <w:ind w:firstLineChars="0" w:firstLine="0"/>
              <w:jc w:val="left"/>
              <w:rPr>
                <w:rFonts w:cstheme="minorHAnsi"/>
              </w:rPr>
            </w:pPr>
            <w:r w:rsidRPr="009304D8">
              <w:rPr>
                <w:rFonts w:cstheme="minorHAnsi" w:hint="eastAsia"/>
              </w:rPr>
              <w:t>Yuanta Life Insurance Co., Ltd.</w:t>
            </w:r>
          </w:p>
        </w:tc>
      </w:tr>
      <w:tr w:rsidR="00233AFC" w14:paraId="7478A827" w14:textId="77777777" w:rsidTr="007B5E1D">
        <w:tc>
          <w:tcPr>
            <w:tcW w:w="2972" w:type="dxa"/>
            <w:vAlign w:val="center"/>
          </w:tcPr>
          <w:p w14:paraId="450B7D61" w14:textId="10B2C301" w:rsidR="00475FC5" w:rsidRPr="00551D6A" w:rsidRDefault="00475FC5" w:rsidP="007B5E1D">
            <w:pPr>
              <w:ind w:firstLineChars="0" w:firstLine="0"/>
              <w:jc w:val="left"/>
            </w:pPr>
            <w:proofErr w:type="spellStart"/>
            <w:r w:rsidRPr="00551D6A">
              <w:t>Taishin</w:t>
            </w:r>
            <w:proofErr w:type="spellEnd"/>
            <w:r w:rsidR="007B5E1D">
              <w:t xml:space="preserve"> </w:t>
            </w:r>
            <w:r w:rsidRPr="00551D6A">
              <w:t>Financial Holding Co., Ltd.</w:t>
            </w:r>
          </w:p>
        </w:tc>
        <w:tc>
          <w:tcPr>
            <w:tcW w:w="1298" w:type="dxa"/>
            <w:vAlign w:val="center"/>
          </w:tcPr>
          <w:p w14:paraId="64D5C050" w14:textId="77777777" w:rsidR="00475FC5" w:rsidRDefault="00475FC5" w:rsidP="00233AFC">
            <w:pPr>
              <w:ind w:firstLineChars="0" w:firstLine="0"/>
              <w:rPr>
                <w:rFonts w:cstheme="minorHAnsi"/>
              </w:rPr>
            </w:pPr>
            <w:r>
              <w:t>TSFH</w:t>
            </w:r>
          </w:p>
        </w:tc>
        <w:tc>
          <w:tcPr>
            <w:tcW w:w="0" w:type="auto"/>
            <w:vAlign w:val="center"/>
          </w:tcPr>
          <w:p w14:paraId="773FA13D" w14:textId="77777777" w:rsidR="00475FC5" w:rsidRDefault="00475FC5" w:rsidP="00233AFC">
            <w:pPr>
              <w:ind w:firstLineChars="83" w:firstLine="199"/>
              <w:jc w:val="left"/>
            </w:pPr>
            <w:r>
              <w:rPr>
                <w:rFonts w:hint="eastAsia"/>
              </w:rPr>
              <w:t>2887</w:t>
            </w:r>
          </w:p>
        </w:tc>
        <w:tc>
          <w:tcPr>
            <w:tcW w:w="0" w:type="auto"/>
            <w:vAlign w:val="center"/>
          </w:tcPr>
          <w:p w14:paraId="5F199BBE" w14:textId="77777777" w:rsidR="00475FC5" w:rsidRPr="00D62DCC" w:rsidRDefault="00475FC5" w:rsidP="007B5E1D">
            <w:pPr>
              <w:ind w:firstLineChars="0" w:firstLine="0"/>
              <w:jc w:val="left"/>
            </w:pPr>
            <w:proofErr w:type="spellStart"/>
            <w:r>
              <w:rPr>
                <w:shd w:val="clear" w:color="auto" w:fill="F8F9FA"/>
              </w:rPr>
              <w:t>Taishin</w:t>
            </w:r>
            <w:proofErr w:type="spellEnd"/>
            <w:r>
              <w:rPr>
                <w:shd w:val="clear" w:color="auto" w:fill="F8F9FA"/>
              </w:rPr>
              <w:t xml:space="preserve"> Life Insurance Co., Ltd.</w:t>
            </w:r>
          </w:p>
        </w:tc>
      </w:tr>
      <w:tr w:rsidR="00233AFC" w14:paraId="3144AF26" w14:textId="77777777" w:rsidTr="007B5E1D">
        <w:tc>
          <w:tcPr>
            <w:tcW w:w="2972" w:type="dxa"/>
            <w:vAlign w:val="center"/>
          </w:tcPr>
          <w:p w14:paraId="53D7E218" w14:textId="6DE0D16D" w:rsidR="00475FC5" w:rsidRPr="00551D6A" w:rsidRDefault="00475FC5" w:rsidP="007B5E1D">
            <w:pPr>
              <w:ind w:firstLineChars="0" w:firstLine="0"/>
              <w:jc w:val="left"/>
            </w:pPr>
            <w:r w:rsidRPr="009F114D">
              <w:t>Shin</w:t>
            </w:r>
            <w:r w:rsidR="007B5E1D">
              <w:t xml:space="preserve"> </w:t>
            </w:r>
            <w:r w:rsidRPr="009F114D">
              <w:t>Kong Financial Holding Co., Ltd.</w:t>
            </w:r>
          </w:p>
        </w:tc>
        <w:tc>
          <w:tcPr>
            <w:tcW w:w="1298" w:type="dxa"/>
            <w:vAlign w:val="center"/>
          </w:tcPr>
          <w:p w14:paraId="1C098B5D" w14:textId="77777777" w:rsidR="00475FC5" w:rsidRDefault="00475FC5" w:rsidP="00233AFC">
            <w:pPr>
              <w:ind w:firstLineChars="0" w:firstLine="0"/>
              <w:rPr>
                <w:rFonts w:cstheme="minorHAnsi"/>
              </w:rPr>
            </w:pPr>
            <w:r>
              <w:t>SKFH</w:t>
            </w:r>
          </w:p>
        </w:tc>
        <w:tc>
          <w:tcPr>
            <w:tcW w:w="0" w:type="auto"/>
            <w:vAlign w:val="center"/>
          </w:tcPr>
          <w:p w14:paraId="35341DB1" w14:textId="77777777" w:rsidR="00475FC5" w:rsidRPr="009304D8" w:rsidRDefault="00475FC5" w:rsidP="00233AFC">
            <w:pPr>
              <w:ind w:firstLineChars="83" w:firstLine="199"/>
              <w:jc w:val="left"/>
            </w:pPr>
            <w:r>
              <w:t>2888</w:t>
            </w:r>
          </w:p>
        </w:tc>
        <w:tc>
          <w:tcPr>
            <w:tcW w:w="0" w:type="auto"/>
            <w:vAlign w:val="center"/>
          </w:tcPr>
          <w:p w14:paraId="2B63DDE7" w14:textId="77777777" w:rsidR="00475FC5" w:rsidRPr="009304D8" w:rsidRDefault="00475FC5" w:rsidP="007B5E1D">
            <w:pPr>
              <w:ind w:firstLineChars="0" w:firstLine="0"/>
              <w:jc w:val="left"/>
              <w:rPr>
                <w:rFonts w:cstheme="minorHAnsi"/>
              </w:rPr>
            </w:pPr>
            <w:r w:rsidRPr="009304D8">
              <w:rPr>
                <w:rFonts w:cstheme="minorHAnsi" w:hint="eastAsia"/>
              </w:rPr>
              <w:t>Shin Kong Life Insurance Co., Ltd.</w:t>
            </w:r>
          </w:p>
        </w:tc>
      </w:tr>
      <w:tr w:rsidR="00233AFC" w14:paraId="18E516E5" w14:textId="77777777" w:rsidTr="007B5E1D">
        <w:tc>
          <w:tcPr>
            <w:tcW w:w="2972" w:type="dxa"/>
            <w:vAlign w:val="center"/>
          </w:tcPr>
          <w:p w14:paraId="2739EAE4" w14:textId="5C0C1087" w:rsidR="00475FC5" w:rsidRPr="00551D6A" w:rsidRDefault="00475FC5" w:rsidP="007B5E1D">
            <w:pPr>
              <w:ind w:firstLineChars="0" w:firstLine="0"/>
              <w:jc w:val="left"/>
            </w:pPr>
            <w:r w:rsidRPr="00551D6A">
              <w:t>CTBC</w:t>
            </w:r>
            <w:r w:rsidR="00233AFC">
              <w:t xml:space="preserve"> </w:t>
            </w:r>
            <w:r w:rsidRPr="00551D6A">
              <w:t>Financial Holding Co., Ltd.</w:t>
            </w:r>
          </w:p>
        </w:tc>
        <w:tc>
          <w:tcPr>
            <w:tcW w:w="1298" w:type="dxa"/>
            <w:vAlign w:val="center"/>
          </w:tcPr>
          <w:p w14:paraId="73F4EFBC" w14:textId="77777777" w:rsidR="00475FC5" w:rsidRDefault="00475FC5" w:rsidP="00233AFC">
            <w:pPr>
              <w:ind w:firstLineChars="0" w:firstLine="0"/>
              <w:rPr>
                <w:rFonts w:cstheme="minorHAnsi"/>
              </w:rPr>
            </w:pPr>
            <w:r>
              <w:t>CTBC</w:t>
            </w:r>
          </w:p>
        </w:tc>
        <w:tc>
          <w:tcPr>
            <w:tcW w:w="0" w:type="auto"/>
            <w:vAlign w:val="center"/>
          </w:tcPr>
          <w:p w14:paraId="169E075F" w14:textId="77777777" w:rsidR="00475FC5" w:rsidRPr="009304D8" w:rsidRDefault="00475FC5" w:rsidP="00233AFC">
            <w:pPr>
              <w:ind w:firstLineChars="83" w:firstLine="199"/>
              <w:jc w:val="left"/>
            </w:pPr>
            <w:r>
              <w:t>2891</w:t>
            </w:r>
          </w:p>
        </w:tc>
        <w:tc>
          <w:tcPr>
            <w:tcW w:w="0" w:type="auto"/>
            <w:vAlign w:val="center"/>
          </w:tcPr>
          <w:p w14:paraId="478D7598" w14:textId="77777777" w:rsidR="00475FC5" w:rsidRPr="004656B1" w:rsidRDefault="00475FC5" w:rsidP="007B5E1D">
            <w:pPr>
              <w:ind w:firstLineChars="0" w:firstLine="0"/>
              <w:jc w:val="left"/>
            </w:pPr>
            <w:r>
              <w:rPr>
                <w:rFonts w:hint="eastAsia"/>
              </w:rPr>
              <w:t>Taiwan Life Insurance Co., Ltd.</w:t>
            </w:r>
          </w:p>
        </w:tc>
      </w:tr>
      <w:tr w:rsidR="00233AFC" w14:paraId="002C8FD6" w14:textId="77777777" w:rsidTr="007B5E1D">
        <w:tc>
          <w:tcPr>
            <w:tcW w:w="2972" w:type="dxa"/>
            <w:vAlign w:val="center"/>
          </w:tcPr>
          <w:p w14:paraId="27AC1E64" w14:textId="77777777" w:rsidR="00475FC5" w:rsidRPr="00551D6A" w:rsidRDefault="00475FC5" w:rsidP="007B5E1D">
            <w:pPr>
              <w:ind w:firstLineChars="0" w:firstLine="0"/>
              <w:jc w:val="left"/>
            </w:pPr>
            <w:r w:rsidRPr="00551D6A">
              <w:t>First Financial Holding Co., Ltd.</w:t>
            </w:r>
          </w:p>
        </w:tc>
        <w:tc>
          <w:tcPr>
            <w:tcW w:w="1298" w:type="dxa"/>
            <w:vAlign w:val="center"/>
          </w:tcPr>
          <w:p w14:paraId="1116BBF2" w14:textId="77777777" w:rsidR="00475FC5" w:rsidRDefault="00475FC5" w:rsidP="00233AFC">
            <w:pPr>
              <w:ind w:firstLineChars="0" w:firstLine="0"/>
              <w:rPr>
                <w:rFonts w:cstheme="minorHAnsi"/>
              </w:rPr>
            </w:pPr>
            <w:r>
              <w:t>FFHC</w:t>
            </w:r>
          </w:p>
        </w:tc>
        <w:tc>
          <w:tcPr>
            <w:tcW w:w="0" w:type="auto"/>
            <w:vAlign w:val="center"/>
          </w:tcPr>
          <w:p w14:paraId="3034EFAF" w14:textId="7755CA9D" w:rsidR="00475FC5" w:rsidRPr="009304D8" w:rsidRDefault="00475FC5" w:rsidP="00233AFC">
            <w:pPr>
              <w:ind w:firstLineChars="83" w:firstLine="199"/>
            </w:pPr>
            <w:r>
              <w:t>2892</w:t>
            </w:r>
          </w:p>
        </w:tc>
        <w:tc>
          <w:tcPr>
            <w:tcW w:w="0" w:type="auto"/>
            <w:vAlign w:val="center"/>
          </w:tcPr>
          <w:p w14:paraId="79DBCBF6" w14:textId="77777777" w:rsidR="00475FC5" w:rsidRPr="009304D8" w:rsidRDefault="00475FC5" w:rsidP="007B5E1D">
            <w:pPr>
              <w:ind w:firstLineChars="0" w:firstLine="0"/>
              <w:jc w:val="left"/>
              <w:rPr>
                <w:rFonts w:cstheme="minorHAnsi"/>
              </w:rPr>
            </w:pPr>
            <w:r w:rsidRPr="009304D8">
              <w:rPr>
                <w:rFonts w:cstheme="minorHAnsi" w:hint="eastAsia"/>
              </w:rPr>
              <w:t>First Life Insurance Co., Ltd.</w:t>
            </w:r>
          </w:p>
        </w:tc>
      </w:tr>
      <w:tr w:rsidR="00233AFC" w14:paraId="2519C216" w14:textId="77777777" w:rsidTr="007B5E1D">
        <w:tc>
          <w:tcPr>
            <w:tcW w:w="2972" w:type="dxa"/>
            <w:vAlign w:val="center"/>
          </w:tcPr>
          <w:p w14:paraId="58A1D3F7" w14:textId="6E690CE2" w:rsidR="00475FC5" w:rsidRPr="00570012" w:rsidRDefault="00570012" w:rsidP="00570012">
            <w:pPr>
              <w:ind w:firstLineChars="0" w:firstLine="0"/>
              <w:jc w:val="left"/>
              <w:rPr>
                <w:b/>
                <w:bCs/>
              </w:rPr>
            </w:pPr>
            <w:r>
              <w:t xml:space="preserve">Taiwan Cooperative Financial Holding </w:t>
            </w:r>
            <w:proofErr w:type="spellStart"/>
            <w:proofErr w:type="gramStart"/>
            <w:r>
              <w:t>Co.Ltd</w:t>
            </w:r>
            <w:proofErr w:type="spellEnd"/>
            <w:proofErr w:type="gramEnd"/>
          </w:p>
        </w:tc>
        <w:tc>
          <w:tcPr>
            <w:tcW w:w="1298" w:type="dxa"/>
            <w:vAlign w:val="center"/>
          </w:tcPr>
          <w:p w14:paraId="534D9042" w14:textId="77777777" w:rsidR="00475FC5" w:rsidRDefault="00475FC5" w:rsidP="00570012">
            <w:pPr>
              <w:ind w:firstLineChars="0" w:firstLine="0"/>
              <w:rPr>
                <w:rFonts w:cstheme="minorHAnsi"/>
              </w:rPr>
            </w:pPr>
            <w:r>
              <w:t>TCFHC</w:t>
            </w:r>
          </w:p>
        </w:tc>
        <w:tc>
          <w:tcPr>
            <w:tcW w:w="0" w:type="auto"/>
            <w:vAlign w:val="center"/>
          </w:tcPr>
          <w:p w14:paraId="61A41289" w14:textId="77777777" w:rsidR="00475FC5" w:rsidRPr="009304D8" w:rsidRDefault="00475FC5" w:rsidP="00570012">
            <w:pPr>
              <w:ind w:firstLineChars="83" w:firstLine="199"/>
              <w:jc w:val="left"/>
            </w:pPr>
            <w:r>
              <w:t>5880</w:t>
            </w:r>
          </w:p>
        </w:tc>
        <w:tc>
          <w:tcPr>
            <w:tcW w:w="0" w:type="auto"/>
            <w:vAlign w:val="center"/>
          </w:tcPr>
          <w:p w14:paraId="6E67F473" w14:textId="0BCEA028" w:rsidR="00475FC5" w:rsidRPr="00930578" w:rsidRDefault="00000000" w:rsidP="00930578">
            <w:pPr>
              <w:ind w:firstLineChars="0" w:firstLine="0"/>
              <w:jc w:val="left"/>
              <w:rPr>
                <w:rFonts w:cstheme="minorHAnsi"/>
              </w:rPr>
            </w:pPr>
            <w:hyperlink r:id="rId8" w:history="1">
              <w:r w:rsidR="00930578" w:rsidRPr="00930578">
                <w:rPr>
                  <w:rFonts w:cstheme="minorHAnsi"/>
                </w:rPr>
                <w:t>BNP Paribas Cardif TCB Life Insurance Co., Ltd.</w:t>
              </w:r>
            </w:hyperlink>
          </w:p>
        </w:tc>
      </w:tr>
    </w:tbl>
    <w:p w14:paraId="6910EF3B" w14:textId="77777777" w:rsidR="00570012" w:rsidRDefault="00570012" w:rsidP="00DE6038">
      <w:pPr>
        <w:ind w:firstLineChars="0" w:firstLine="0"/>
      </w:pPr>
    </w:p>
    <w:p w14:paraId="5D65711F" w14:textId="77777777" w:rsidR="00817DCB" w:rsidRDefault="00817DCB" w:rsidP="00817DCB">
      <w:pPr>
        <w:pStyle w:val="a0"/>
      </w:pPr>
      <w:r>
        <w:rPr>
          <w:rFonts w:hint="eastAsia"/>
        </w:rPr>
        <w:t xml:space="preserve">The 'risk capital' mentioned </w:t>
      </w:r>
      <w:r w:rsidRPr="00FF6127">
        <w:rPr>
          <w:rFonts w:hint="eastAsia"/>
        </w:rPr>
        <w:t xml:space="preserve">in the Insurance Act </w:t>
      </w:r>
      <w:r>
        <w:rPr>
          <w:rFonts w:hint="eastAsia"/>
        </w:rPr>
        <w:t>refe</w:t>
      </w:r>
      <w:r w:rsidRPr="00FF6127">
        <w:rPr>
          <w:rFonts w:hint="eastAsia"/>
        </w:rPr>
        <w:t>rs to the total capital calculated based on the de</w:t>
      </w:r>
      <w:r>
        <w:rPr>
          <w:rFonts w:hint="eastAsia"/>
        </w:rPr>
        <w:t>gree</w:t>
      </w:r>
      <w:r w:rsidRPr="00FF6127">
        <w:rPr>
          <w:rFonts w:hint="eastAsia"/>
        </w:rPr>
        <w:t xml:space="preserve"> of risk undertaken by an insurance enterprise in its actual operations; its scope includes the following risk items:</w:t>
      </w:r>
    </w:p>
    <w:p w14:paraId="17B199F7" w14:textId="77777777" w:rsidR="00817DCB" w:rsidRDefault="00817DCB" w:rsidP="00817DCB">
      <w:pPr>
        <w:pStyle w:val="a0"/>
        <w:numPr>
          <w:ilvl w:val="0"/>
          <w:numId w:val="1"/>
        </w:numPr>
        <w:ind w:firstLineChars="0"/>
      </w:pPr>
      <w:r>
        <w:rPr>
          <w:rFonts w:hint="eastAsia"/>
        </w:rPr>
        <w:t>Life insurance enterprises: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20"/>
        <w:gridCol w:w="2620"/>
      </w:tblGrid>
      <w:tr w:rsidR="00817DCB" w14:paraId="55301AC4" w14:textId="77777777" w:rsidTr="00930578">
        <w:tc>
          <w:tcPr>
            <w:tcW w:w="2620" w:type="dxa"/>
          </w:tcPr>
          <w:p w14:paraId="6BAF139A" w14:textId="368FF29B" w:rsidR="00930578" w:rsidRDefault="00930578" w:rsidP="00930578">
            <w:pPr>
              <w:ind w:firstLineChars="0" w:firstLine="0"/>
            </w:pPr>
            <w:r>
              <w:t xml:space="preserve">1. </w:t>
            </w:r>
            <w:r w:rsidR="00817DCB">
              <w:rPr>
                <w:rFonts w:hint="eastAsia"/>
              </w:rPr>
              <w:t xml:space="preserve">Asset Risk </w:t>
            </w:r>
          </w:p>
          <w:p w14:paraId="3EF34510" w14:textId="5891C7E9" w:rsidR="00817DCB" w:rsidRDefault="00930578" w:rsidP="00930578">
            <w:pPr>
              <w:ind w:firstLineChars="0" w:firstLine="0"/>
            </w:pPr>
            <w:r>
              <w:lastRenderedPageBreak/>
              <w:t xml:space="preserve">2. </w:t>
            </w:r>
            <w:r w:rsidR="00817DCB">
              <w:rPr>
                <w:rFonts w:hint="eastAsia"/>
              </w:rPr>
              <w:t>Insurance Risk</w:t>
            </w:r>
          </w:p>
        </w:tc>
        <w:tc>
          <w:tcPr>
            <w:tcW w:w="2620" w:type="dxa"/>
          </w:tcPr>
          <w:p w14:paraId="5A0927ED" w14:textId="37E9B593" w:rsidR="00930578" w:rsidRDefault="00930578" w:rsidP="00930578">
            <w:pPr>
              <w:ind w:firstLineChars="0" w:firstLine="0"/>
            </w:pPr>
            <w:r>
              <w:lastRenderedPageBreak/>
              <w:t xml:space="preserve">3. </w:t>
            </w:r>
            <w:r w:rsidR="00817DCB">
              <w:rPr>
                <w:rFonts w:hint="eastAsia"/>
              </w:rPr>
              <w:t>Interest Rate</w:t>
            </w:r>
            <w:r>
              <w:t xml:space="preserve"> </w:t>
            </w:r>
            <w:r w:rsidR="00817DCB">
              <w:rPr>
                <w:rFonts w:hint="eastAsia"/>
              </w:rPr>
              <w:t>Risk</w:t>
            </w:r>
          </w:p>
          <w:p w14:paraId="3221C931" w14:textId="2C4D98C0" w:rsidR="00817DCB" w:rsidRDefault="00930578" w:rsidP="00930578">
            <w:pPr>
              <w:ind w:firstLineChars="0" w:firstLine="0"/>
            </w:pPr>
            <w:r>
              <w:lastRenderedPageBreak/>
              <w:t>4.</w:t>
            </w:r>
            <w:r w:rsidR="00817DCB">
              <w:rPr>
                <w:rFonts w:hint="eastAsia"/>
              </w:rPr>
              <w:t xml:space="preserve"> Other Risks</w:t>
            </w:r>
          </w:p>
        </w:tc>
      </w:tr>
    </w:tbl>
    <w:p w14:paraId="317FB35C" w14:textId="77777777" w:rsidR="00817DCB" w:rsidRDefault="00817DCB" w:rsidP="00817DCB">
      <w:pPr>
        <w:pStyle w:val="a0"/>
        <w:numPr>
          <w:ilvl w:val="0"/>
          <w:numId w:val="1"/>
        </w:numPr>
        <w:ind w:firstLineChars="0"/>
      </w:pPr>
      <w:r>
        <w:rPr>
          <w:rFonts w:hint="eastAsia"/>
        </w:rPr>
        <w:lastRenderedPageBreak/>
        <w:t>Property insurance enterprises:</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10"/>
        <w:gridCol w:w="5696"/>
      </w:tblGrid>
      <w:tr w:rsidR="00817DCB" w14:paraId="3AFFBD35" w14:textId="77777777" w:rsidTr="0096629E">
        <w:trPr>
          <w:trHeight w:val="80"/>
          <w:jc w:val="center"/>
        </w:trPr>
        <w:tc>
          <w:tcPr>
            <w:tcW w:w="1571" w:type="pct"/>
          </w:tcPr>
          <w:p w14:paraId="1C628313" w14:textId="7B55646B" w:rsidR="00930578" w:rsidRDefault="00930578" w:rsidP="00930578">
            <w:pPr>
              <w:ind w:firstLineChars="0" w:firstLine="0"/>
            </w:pPr>
            <w:r>
              <w:t xml:space="preserve">1. </w:t>
            </w:r>
            <w:r w:rsidR="00817DCB">
              <w:rPr>
                <w:rFonts w:hint="eastAsia"/>
              </w:rPr>
              <w:t>Asset Risk</w:t>
            </w:r>
          </w:p>
          <w:p w14:paraId="1C9988F0" w14:textId="545C7DDD" w:rsidR="00930578" w:rsidRDefault="00930578" w:rsidP="00930578">
            <w:pPr>
              <w:ind w:firstLineChars="0" w:firstLine="0"/>
            </w:pPr>
            <w:r>
              <w:t xml:space="preserve">2. </w:t>
            </w:r>
            <w:r w:rsidR="00817DCB">
              <w:rPr>
                <w:rFonts w:hint="eastAsia"/>
              </w:rPr>
              <w:t>Credit Risk</w:t>
            </w:r>
          </w:p>
          <w:p w14:paraId="7773F152" w14:textId="2474C618" w:rsidR="00817DCB" w:rsidRDefault="00930578" w:rsidP="0096629E">
            <w:pPr>
              <w:ind w:firstLineChars="0" w:firstLine="0"/>
            </w:pPr>
            <w:r>
              <w:t xml:space="preserve">3. </w:t>
            </w:r>
            <w:r w:rsidR="00817DCB">
              <w:rPr>
                <w:rFonts w:hint="eastAsia"/>
              </w:rPr>
              <w:t>Underwriting Risk</w:t>
            </w:r>
          </w:p>
        </w:tc>
        <w:tc>
          <w:tcPr>
            <w:tcW w:w="3429" w:type="pct"/>
          </w:tcPr>
          <w:p w14:paraId="3F8CA257" w14:textId="77777777" w:rsidR="00930578" w:rsidRDefault="00817DCB" w:rsidP="00817DCB">
            <w:pPr>
              <w:pStyle w:val="ListParagraph"/>
              <w:numPr>
                <w:ilvl w:val="0"/>
                <w:numId w:val="4"/>
              </w:numPr>
              <w:ind w:leftChars="0" w:firstLine="480"/>
            </w:pPr>
            <w:r>
              <w:rPr>
                <w:rFonts w:hint="eastAsia"/>
              </w:rPr>
              <w:t>Asset-Liability Management Risk</w:t>
            </w:r>
          </w:p>
          <w:p w14:paraId="62FA64F4" w14:textId="113CA9E4" w:rsidR="00817DCB" w:rsidRDefault="00817DCB" w:rsidP="00930578">
            <w:pPr>
              <w:pStyle w:val="ListParagraph"/>
              <w:numPr>
                <w:ilvl w:val="0"/>
                <w:numId w:val="4"/>
              </w:numPr>
              <w:ind w:leftChars="0" w:firstLine="480"/>
            </w:pPr>
            <w:r>
              <w:rPr>
                <w:rFonts w:hint="eastAsia"/>
              </w:rPr>
              <w:t xml:space="preserve"> Other Risks</w:t>
            </w:r>
          </w:p>
        </w:tc>
      </w:tr>
    </w:tbl>
    <w:p w14:paraId="0451693A" w14:textId="77777777" w:rsidR="00D70FCC" w:rsidRDefault="00D70FCC" w:rsidP="00DE6038">
      <w:pPr>
        <w:ind w:firstLineChars="0" w:firstLine="0"/>
      </w:pPr>
      <w:bookmarkStart w:id="11" w:name="_Toc113394890"/>
    </w:p>
    <w:p w14:paraId="5B8D7A76" w14:textId="77777777" w:rsidR="003B03EC" w:rsidRDefault="003B03EC" w:rsidP="00DE6038">
      <w:pPr>
        <w:ind w:firstLineChars="0" w:firstLine="0"/>
      </w:pPr>
    </w:p>
    <w:p w14:paraId="59AA1702" w14:textId="77777777" w:rsidR="003B03EC" w:rsidRDefault="003B03EC" w:rsidP="00DE6038">
      <w:pPr>
        <w:ind w:firstLineChars="0" w:firstLine="0"/>
      </w:pPr>
    </w:p>
    <w:p w14:paraId="08F6FC9B" w14:textId="77777777" w:rsidR="003B03EC" w:rsidRDefault="003B03EC" w:rsidP="00DE6038">
      <w:pPr>
        <w:ind w:firstLineChars="0" w:firstLine="0"/>
      </w:pPr>
    </w:p>
    <w:p w14:paraId="554BB88E" w14:textId="73F05460" w:rsidR="002B2458" w:rsidRDefault="00DE6038" w:rsidP="00DE6038">
      <w:pPr>
        <w:ind w:firstLineChars="0" w:firstLine="0"/>
      </w:pPr>
      <w:r>
        <w:rPr>
          <w:rFonts w:hint="eastAsia"/>
        </w:rPr>
        <w:t>3</w:t>
      </w:r>
      <w:r w:rsidR="00D70FCC">
        <w:t>.</w:t>
      </w:r>
      <w:r>
        <w:rPr>
          <w:rFonts w:hint="eastAsia"/>
        </w:rPr>
        <w:t>3 Res</w:t>
      </w:r>
      <w:r w:rsidR="00817DCB">
        <w:rPr>
          <w:rFonts w:hint="eastAsia"/>
        </w:rPr>
        <w:t>earch Model</w:t>
      </w:r>
      <w:bookmarkEnd w:id="11"/>
    </w:p>
    <w:p w14:paraId="54F40E7B" w14:textId="3C9C001C" w:rsidR="00817DCB" w:rsidRPr="00DE6038" w:rsidRDefault="00D70FCC" w:rsidP="00D70FCC">
      <w:pPr>
        <w:pStyle w:val="3"/>
        <w:numPr>
          <w:ilvl w:val="0"/>
          <w:numId w:val="0"/>
        </w:numPr>
        <w:rPr>
          <w:rFonts w:cstheme="minorBidi"/>
          <w:sz w:val="24"/>
        </w:rPr>
      </w:pPr>
      <w:bookmarkStart w:id="12" w:name="_Toc113394891"/>
      <w:r>
        <w:rPr>
          <w:rFonts w:cstheme="minorBidi"/>
          <w:sz w:val="24"/>
        </w:rPr>
        <w:t xml:space="preserve">(1) </w:t>
      </w:r>
      <w:r w:rsidR="00817DCB" w:rsidRPr="00DE6038">
        <w:rPr>
          <w:rFonts w:cstheme="minorBidi" w:hint="eastAsia"/>
          <w:sz w:val="24"/>
        </w:rPr>
        <w:t>Ord</w:t>
      </w:r>
      <w:r>
        <w:rPr>
          <w:rFonts w:cstheme="minorBidi"/>
          <w:sz w:val="24"/>
        </w:rPr>
        <w:t xml:space="preserve">ered </w:t>
      </w:r>
      <w:r w:rsidR="00817DCB" w:rsidRPr="00DE6038">
        <w:rPr>
          <w:rFonts w:cstheme="minorBidi"/>
          <w:sz w:val="24"/>
        </w:rPr>
        <w:t>Logi</w:t>
      </w:r>
      <w:r>
        <w:rPr>
          <w:rFonts w:cstheme="minorBidi"/>
          <w:sz w:val="24"/>
        </w:rPr>
        <w:t>t Model</w:t>
      </w:r>
      <w:bookmarkEnd w:id="12"/>
    </w:p>
    <w:p w14:paraId="31DC57EE" w14:textId="77777777" w:rsidR="00817DCB" w:rsidRDefault="00817DCB" w:rsidP="00817DCB">
      <w:pPr>
        <w:pStyle w:val="a0"/>
      </w:pPr>
      <w:r w:rsidRPr="004510DE">
        <w:rPr>
          <w:rFonts w:hint="eastAsia"/>
        </w:rPr>
        <w:t>Pet</w:t>
      </w:r>
      <w:r w:rsidRPr="004510DE">
        <w:t>er McCullagh (1980) proposed ordinal regre</w:t>
      </w:r>
      <w:r>
        <w:t>ssion.</w:t>
      </w:r>
      <w:r>
        <w:rPr>
          <w:rFonts w:hint="eastAsia"/>
        </w:rPr>
        <w:t xml:space="preserve"> In</w:t>
      </w:r>
      <w:r>
        <w:t xml:space="preserve"> statisti</w:t>
      </w:r>
      <w:r>
        <w:rPr>
          <w:rFonts w:hint="eastAsia"/>
        </w:rPr>
        <w:t xml:space="preserve">cs </w:t>
      </w:r>
      <w:r>
        <w:t>and</w:t>
      </w:r>
      <w:r>
        <w:rPr>
          <w:rFonts w:hint="eastAsia"/>
        </w:rPr>
        <w:t xml:space="preserve"> machine learning research, ordinal regression is a variant of regression models typically used when data involves ordinal variables. Ordinal regression is generally divided into the following two types:</w:t>
      </w:r>
    </w:p>
    <w:p w14:paraId="6D2617BB" w14:textId="77777777" w:rsidR="00817DCB" w:rsidRPr="00482904" w:rsidRDefault="00817DCB" w:rsidP="00817DCB">
      <w:pPr>
        <w:pStyle w:val="a0"/>
        <w:numPr>
          <w:ilvl w:val="0"/>
          <w:numId w:val="1"/>
        </w:numPr>
        <w:ind w:firstLineChars="0"/>
        <w:rPr>
          <w:rFonts w:ascii="新細明體" w:hAnsi="新細明體"/>
        </w:rPr>
      </w:pPr>
      <w:r w:rsidRPr="00482904">
        <w:rPr>
          <w:rFonts w:hint="eastAsia"/>
          <w:shd w:val="clear" w:color="auto" w:fill="FFFFFF"/>
        </w:rPr>
        <w:t>Orde</w:t>
      </w:r>
      <w:r>
        <w:rPr>
          <w:rFonts w:hint="eastAsia"/>
          <w:shd w:val="clear" w:color="auto" w:fill="FFFFFF"/>
        </w:rPr>
        <w:t>r</w:t>
      </w:r>
      <w:r w:rsidRPr="00482904">
        <w:rPr>
          <w:shd w:val="clear" w:color="auto" w:fill="FFFFFF"/>
        </w:rPr>
        <w:t>ed Logit Mod</w:t>
      </w:r>
      <w:r>
        <w:rPr>
          <w:rFonts w:hint="eastAsia"/>
          <w:shd w:val="clear" w:color="auto" w:fill="FFFFFF"/>
        </w:rPr>
        <w:t>el</w:t>
      </w:r>
    </w:p>
    <w:p w14:paraId="69694BB4" w14:textId="77777777" w:rsidR="00817DCB" w:rsidRPr="00BD7A34" w:rsidRDefault="00817DCB" w:rsidP="00817DCB">
      <w:pPr>
        <w:pStyle w:val="a0"/>
      </w:pPr>
      <w:r w:rsidRPr="005C0D5D">
        <w:rPr>
          <w:rFonts w:hint="eastAsia"/>
        </w:rPr>
        <w:t>Applicable to ordi</w:t>
      </w:r>
      <w:r>
        <w:rPr>
          <w:rFonts w:hint="eastAsia"/>
        </w:rPr>
        <w:t>nal</w:t>
      </w:r>
      <w:r w:rsidRPr="005C0D5D">
        <w:rPr>
          <w:rFonts w:hint="eastAsia"/>
        </w:rPr>
        <w:t xml:space="preserve"> de</w:t>
      </w:r>
      <w:r>
        <w:rPr>
          <w:rFonts w:hint="eastAsia"/>
        </w:rPr>
        <w:t>pen</w:t>
      </w:r>
      <w:r w:rsidRPr="005C0D5D">
        <w:rPr>
          <w:rFonts w:hint="eastAsia"/>
        </w:rPr>
        <w:t>dent va</w:t>
      </w:r>
      <w:r>
        <w:rPr>
          <w:rFonts w:hint="eastAsia"/>
        </w:rPr>
        <w:t>ria</w:t>
      </w:r>
      <w:r w:rsidRPr="005C0D5D">
        <w:rPr>
          <w:rFonts w:hint="eastAsia"/>
        </w:rPr>
        <w:t>bles and pure regression mode</w:t>
      </w:r>
      <w:r>
        <w:rPr>
          <w:rFonts w:hint="eastAsia"/>
        </w:rPr>
        <w:t>ls. For</w:t>
      </w:r>
      <w:r w:rsidRPr="005C0D5D">
        <w:rPr>
          <w:rFonts w:hint="eastAsia"/>
        </w:rPr>
        <w:t xml:space="preserve"> example, in a survey asking abo</w:t>
      </w:r>
      <w:r>
        <w:rPr>
          <w:rFonts w:hint="eastAsia"/>
        </w:rPr>
        <w:t xml:space="preserve">ut </w:t>
      </w:r>
      <w:r w:rsidRPr="005C0D5D">
        <w:rPr>
          <w:rFonts w:hint="eastAsia"/>
        </w:rPr>
        <w:t>pro</w:t>
      </w:r>
      <w:r>
        <w:rPr>
          <w:rFonts w:hint="eastAsia"/>
        </w:rPr>
        <w:t>duc</w:t>
      </w:r>
      <w:r w:rsidRPr="005C0D5D">
        <w:rPr>
          <w:rFonts w:hint="eastAsia"/>
        </w:rPr>
        <w:t>t s</w:t>
      </w:r>
      <w:r>
        <w:rPr>
          <w:rFonts w:hint="eastAsia"/>
        </w:rPr>
        <w:t>ati</w:t>
      </w:r>
      <w:r w:rsidRPr="005C0D5D">
        <w:rPr>
          <w:rFonts w:hint="eastAsia"/>
        </w:rPr>
        <w:t>sfa</w:t>
      </w:r>
      <w:r>
        <w:rPr>
          <w:rFonts w:hint="eastAsia"/>
        </w:rPr>
        <w:t>cti</w:t>
      </w:r>
      <w:r w:rsidRPr="005C0D5D">
        <w:rPr>
          <w:rFonts w:hint="eastAsia"/>
        </w:rPr>
        <w:t xml:space="preserve">on </w:t>
      </w:r>
      <w:r>
        <w:rPr>
          <w:rFonts w:hint="eastAsia"/>
        </w:rPr>
        <w:t>with re</w:t>
      </w:r>
      <w:r w:rsidRPr="005C0D5D">
        <w:rPr>
          <w:rFonts w:hint="eastAsia"/>
        </w:rPr>
        <w:t>spo</w:t>
      </w:r>
      <w:r>
        <w:rPr>
          <w:rFonts w:hint="eastAsia"/>
        </w:rPr>
        <w:t>nse</w:t>
      </w:r>
      <w:r w:rsidRPr="005C0D5D">
        <w:rPr>
          <w:rFonts w:hint="eastAsia"/>
        </w:rPr>
        <w:t>s l</w:t>
      </w:r>
      <w:r>
        <w:rPr>
          <w:rFonts w:hint="eastAsia"/>
        </w:rPr>
        <w:t>ike</w:t>
      </w:r>
      <w:r w:rsidRPr="005C0D5D">
        <w:rPr>
          <w:rFonts w:hint="eastAsia"/>
        </w:rPr>
        <w:t xml:space="preserve"> 'bad,'</w:t>
      </w:r>
      <w:r>
        <w:rPr>
          <w:rFonts w:hint="eastAsia"/>
        </w:rPr>
        <w:t xml:space="preserve"> 'good,' 'very good,' and 'ex</w:t>
      </w:r>
      <w:r w:rsidRPr="00CE6C33">
        <w:rPr>
          <w:rFonts w:hint="eastAsia"/>
        </w:rPr>
        <w:t xml:space="preserve">cellent,' analyzing the predictive effect of these responses on the </w:t>
      </w:r>
      <w:r w:rsidRPr="005C0D5D">
        <w:rPr>
          <w:rFonts w:hint="eastAsia"/>
        </w:rPr>
        <w:t xml:space="preserve">next product. This model can be </w:t>
      </w:r>
      <w:r>
        <w:rPr>
          <w:rFonts w:hint="eastAsia"/>
        </w:rPr>
        <w:t>used if</w:t>
      </w:r>
      <w:r w:rsidRPr="005C0D5D">
        <w:rPr>
          <w:rFonts w:hint="eastAsia"/>
        </w:rPr>
        <w:t xml:space="preserve"> the questions are quantitative. It can be viewed as an extension of logistic regression, allowing for more than two categories to be </w:t>
      </w:r>
      <w:r>
        <w:rPr>
          <w:rFonts w:hint="eastAsia"/>
        </w:rPr>
        <w:t>arr</w:t>
      </w:r>
      <w:r w:rsidRPr="005C0D5D">
        <w:rPr>
          <w:rFonts w:hint="eastAsia"/>
        </w:rPr>
        <w:t>anged in an ordered manner.</w:t>
      </w:r>
    </w:p>
    <w:p w14:paraId="078A3274" w14:textId="77777777" w:rsidR="00817DCB" w:rsidRPr="00482904" w:rsidRDefault="00817DCB" w:rsidP="00817DCB">
      <w:pPr>
        <w:pStyle w:val="a0"/>
        <w:numPr>
          <w:ilvl w:val="0"/>
          <w:numId w:val="1"/>
        </w:numPr>
        <w:ind w:firstLineChars="0"/>
        <w:rPr>
          <w:rFonts w:ascii="新細明體" w:hAnsi="新細明體"/>
        </w:rPr>
      </w:pPr>
      <w:r w:rsidRPr="00482904">
        <w:rPr>
          <w:rFonts w:hint="eastAsia"/>
          <w:shd w:val="clear" w:color="auto" w:fill="FFFFFF"/>
        </w:rPr>
        <w:t>O</w:t>
      </w:r>
      <w:r w:rsidRPr="00482904">
        <w:rPr>
          <w:shd w:val="clear" w:color="auto" w:fill="FFFFFF"/>
        </w:rPr>
        <w:t>rde</w:t>
      </w:r>
      <w:r w:rsidRPr="00482904">
        <w:rPr>
          <w:rFonts w:hint="eastAsia"/>
          <w:shd w:val="clear" w:color="auto" w:fill="FFFFFF"/>
        </w:rPr>
        <w:t>r</w:t>
      </w:r>
      <w:r>
        <w:rPr>
          <w:rFonts w:hint="eastAsia"/>
          <w:shd w:val="clear" w:color="auto" w:fill="FFFFFF"/>
        </w:rPr>
        <w:t>e</w:t>
      </w:r>
      <w:r w:rsidRPr="00482904">
        <w:rPr>
          <w:shd w:val="clear" w:color="auto" w:fill="FFFFFF"/>
        </w:rPr>
        <w:t>d Probit Mod</w:t>
      </w:r>
      <w:r>
        <w:rPr>
          <w:rFonts w:hint="eastAsia"/>
          <w:shd w:val="clear" w:color="auto" w:fill="FFFFFF"/>
        </w:rPr>
        <w:t>el</w:t>
      </w:r>
    </w:p>
    <w:p w14:paraId="5BBE3B7E" w14:textId="77777777" w:rsidR="00817DCB" w:rsidRDefault="00817DCB" w:rsidP="00817DCB">
      <w:pPr>
        <w:pStyle w:val="a0"/>
      </w:pPr>
      <w:r>
        <w:rPr>
          <w:rFonts w:hint="eastAsia"/>
        </w:rPr>
        <w:t>This m</w:t>
      </w:r>
      <w:r w:rsidRPr="005C0D5D">
        <w:rPr>
          <w:rFonts w:hint="eastAsia"/>
        </w:rPr>
        <w:t>odel can be considered a variant of the probability model, featurin</w:t>
      </w:r>
      <w:r>
        <w:rPr>
          <w:rFonts w:hint="eastAsia"/>
        </w:rPr>
        <w:t>g an ordi</w:t>
      </w:r>
      <w:r w:rsidRPr="005C0D5D">
        <w:rPr>
          <w:rFonts w:hint="eastAsia"/>
        </w:rPr>
        <w:t>nal</w:t>
      </w:r>
      <w:r>
        <w:rPr>
          <w:rFonts w:hint="eastAsia"/>
        </w:rPr>
        <w:t xml:space="preserve"> depen</w:t>
      </w:r>
      <w:r w:rsidRPr="005C0D5D">
        <w:rPr>
          <w:rFonts w:hint="eastAsia"/>
        </w:rPr>
        <w:t>dent variable and capable of yieldi</w:t>
      </w:r>
      <w:r>
        <w:rPr>
          <w:rFonts w:hint="eastAsia"/>
        </w:rPr>
        <w:t>ng more t</w:t>
      </w:r>
      <w:r w:rsidRPr="005C0D5D">
        <w:rPr>
          <w:rFonts w:hint="eastAsia"/>
        </w:rPr>
        <w:t xml:space="preserve">han two outcomes. The </w:t>
      </w:r>
      <w:r>
        <w:rPr>
          <w:rFonts w:hint="eastAsia"/>
        </w:rPr>
        <w:t>ord</w:t>
      </w:r>
      <w:r w:rsidRPr="005C0D5D">
        <w:rPr>
          <w:rFonts w:hint="eastAsia"/>
        </w:rPr>
        <w:t>ina</w:t>
      </w:r>
      <w:r>
        <w:rPr>
          <w:rFonts w:hint="eastAsia"/>
        </w:rPr>
        <w:t>l depe</w:t>
      </w:r>
      <w:r w:rsidRPr="005C0D5D">
        <w:rPr>
          <w:rFonts w:hint="eastAsia"/>
        </w:rPr>
        <w:t>ndent variable can be def</w:t>
      </w:r>
      <w:r>
        <w:rPr>
          <w:rFonts w:hint="eastAsia"/>
        </w:rPr>
        <w:t>ine</w:t>
      </w:r>
      <w:r w:rsidRPr="005C0D5D">
        <w:rPr>
          <w:rFonts w:hint="eastAsia"/>
        </w:rPr>
        <w:t>d by valu</w:t>
      </w:r>
      <w:r>
        <w:rPr>
          <w:rFonts w:hint="eastAsia"/>
        </w:rPr>
        <w:t>es that have a natural order, such as 'very dangerous,' 'dangerous,' 'normal,' 'safe,' 'v</w:t>
      </w:r>
      <w:r w:rsidRPr="005C0D5D">
        <w:rPr>
          <w:rFonts w:hint="eastAsia"/>
        </w:rPr>
        <w:t>ery safe.'</w:t>
      </w:r>
    </w:p>
    <w:p w14:paraId="2BFD492F" w14:textId="77777777" w:rsidR="00817DCB" w:rsidRDefault="00817DCB" w:rsidP="00817DCB">
      <w:pPr>
        <w:ind w:firstLine="480"/>
      </w:pPr>
      <w:r w:rsidRPr="00DD506C">
        <w:rPr>
          <w:rFonts w:hint="eastAsia"/>
        </w:rPr>
        <w:t>In many fields such as marketing, healthcare, and finance, ordinal regression may be</w:t>
      </w:r>
      <w:r>
        <w:rPr>
          <w:rFonts w:hint="eastAsia"/>
        </w:rPr>
        <w:t xml:space="preserve"> fo</w:t>
      </w:r>
      <w:r w:rsidRPr="00DD506C">
        <w:rPr>
          <w:rFonts w:hint="eastAsia"/>
        </w:rPr>
        <w:t>und. In short, whenever data with categorical v</w:t>
      </w:r>
      <w:r>
        <w:rPr>
          <w:rFonts w:hint="eastAsia"/>
        </w:rPr>
        <w:t xml:space="preserve">alues are </w:t>
      </w:r>
      <w:r w:rsidRPr="00DD506C">
        <w:rPr>
          <w:rFonts w:hint="eastAsia"/>
        </w:rPr>
        <w:t>obtained in an ordered format, ordinal data can be used to identify factors that influence</w:t>
      </w:r>
      <w:r>
        <w:rPr>
          <w:rFonts w:hint="eastAsia"/>
        </w:rPr>
        <w:t xml:space="preserve"> the o</w:t>
      </w:r>
      <w:r w:rsidRPr="00DD506C">
        <w:rPr>
          <w:rFonts w:hint="eastAsia"/>
        </w:rPr>
        <w:t>rdered categorical values.</w:t>
      </w:r>
    </w:p>
    <w:p w14:paraId="2EED65F2" w14:textId="77777777" w:rsidR="00817DCB" w:rsidRDefault="00DE6038" w:rsidP="00DE6038">
      <w:pPr>
        <w:ind w:firstLineChars="0" w:firstLine="0"/>
      </w:pPr>
      <w:bookmarkStart w:id="13" w:name="_Toc113394892"/>
      <w:r>
        <w:rPr>
          <w:rFonts w:hint="eastAsia"/>
        </w:rPr>
        <w:lastRenderedPageBreak/>
        <w:t xml:space="preserve">Financial </w:t>
      </w:r>
      <w:r w:rsidR="008554A7">
        <w:rPr>
          <w:rFonts w:hint="eastAsia"/>
        </w:rPr>
        <w:t>holding parent company risk areas of life insurance companies</w:t>
      </w:r>
      <w:bookmarkEnd w:id="13"/>
    </w:p>
    <w:p w14:paraId="646CAE88" w14:textId="77777777" w:rsidR="008554A7" w:rsidRPr="00D237CD" w:rsidRDefault="008554A7" w:rsidP="008554A7">
      <w:pPr>
        <w:pStyle w:val="a0"/>
      </w:pPr>
      <w:r>
        <w:rPr>
          <w:rFonts w:hint="eastAsia"/>
        </w:rPr>
        <w:t>This study selects four risk areas of financial holding parent companies of life insurance companies: stock price risk, liquidity risk, operational risk, and other risks, which are explained below.</w:t>
      </w:r>
    </w:p>
    <w:p w14:paraId="38708B65" w14:textId="77777777" w:rsidR="008554A7" w:rsidRPr="00DE6038" w:rsidRDefault="008554A7" w:rsidP="0096629E">
      <w:pPr>
        <w:pStyle w:val="a0"/>
        <w:numPr>
          <w:ilvl w:val="0"/>
          <w:numId w:val="1"/>
        </w:numPr>
        <w:ind w:firstLineChars="0"/>
        <w:rPr>
          <w:bCs/>
        </w:rPr>
      </w:pPr>
      <w:r w:rsidRPr="00DE6038">
        <w:rPr>
          <w:rFonts w:hint="eastAsia"/>
        </w:rPr>
        <w:t>Stock Price Risk</w:t>
      </w:r>
    </w:p>
    <w:p w14:paraId="50A0826C" w14:textId="1858A0D8" w:rsidR="008554A7" w:rsidRDefault="0096629E" w:rsidP="0096629E">
      <w:pPr>
        <w:pStyle w:val="a0"/>
        <w:ind w:left="960" w:firstLineChars="0" w:firstLine="0"/>
      </w:pPr>
      <w:r>
        <w:rPr>
          <w:shd w:val="clear" w:color="auto" w:fill="FFFFFF"/>
        </w:rPr>
        <w:t xml:space="preserve">(1) </w:t>
      </w:r>
      <w:r w:rsidR="008554A7" w:rsidRPr="0096629E">
        <w:rPr>
          <w:rFonts w:hint="eastAsia"/>
          <w:shd w:val="clear" w:color="auto" w:fill="FFFFFF"/>
        </w:rPr>
        <w:t>Stock</w:t>
      </w:r>
      <w:r w:rsidR="008554A7">
        <w:rPr>
          <w:rFonts w:hint="eastAsia"/>
        </w:rPr>
        <w:t xml:space="preserve"> Price Return on Investment</w:t>
      </w:r>
    </w:p>
    <w:p w14:paraId="38B8562E" w14:textId="77777777" w:rsidR="008554A7" w:rsidRDefault="008554A7" w:rsidP="008554A7">
      <w:pPr>
        <w:pStyle w:val="a0"/>
      </w:pPr>
      <w:r>
        <w:rPr>
          <w:rFonts w:hint="eastAsia"/>
        </w:rPr>
        <w:t>Stock Price Return o</w:t>
      </w:r>
      <w:r>
        <w:t xml:space="preserve">n </w:t>
      </w:r>
      <w:r w:rsidRPr="00537287">
        <w:rPr>
          <w:shd w:val="clear" w:color="auto" w:fill="FFFFFF"/>
        </w:rPr>
        <w:t>Investment (ROI) is the ratio of investment returns to inv</w:t>
      </w:r>
      <w:r w:rsidRPr="00537287">
        <w:rPr>
          <w:rFonts w:hint="eastAsia"/>
          <w:shd w:val="clear" w:color="auto" w:fill="FFFFFF"/>
        </w:rPr>
        <w:t>es</w:t>
      </w:r>
      <w:r w:rsidRPr="00537287">
        <w:rPr>
          <w:shd w:val="clear" w:color="auto" w:fill="FFFFFF"/>
        </w:rPr>
        <w:t>ted c</w:t>
      </w:r>
      <w:r>
        <w:rPr>
          <w:shd w:val="clear" w:color="auto" w:fill="FFFFFF"/>
        </w:rPr>
        <w:t>apita</w:t>
      </w:r>
      <w:r w:rsidRPr="00537287">
        <w:rPr>
          <w:rFonts w:hint="eastAsia"/>
          <w:shd w:val="clear" w:color="auto" w:fill="FFFFFF"/>
        </w:rPr>
        <w:t xml:space="preserve">l. The stock price return on investment </w:t>
      </w:r>
      <w:r>
        <w:rPr>
          <w:rFonts w:hint="eastAsia"/>
          <w:shd w:val="clear" w:color="auto" w:fill="FFFFFF"/>
        </w:rPr>
        <w:t xml:space="preserve">in this study is referred to as </w:t>
      </w:r>
      <w:proofErr w:type="spellStart"/>
      <w:r>
        <w:rPr>
          <w:rFonts w:hint="eastAsia"/>
          <w:shd w:val="clear" w:color="auto" w:fill="FFFFFF"/>
        </w:rPr>
        <w:t>Stk</w:t>
      </w:r>
      <w:proofErr w:type="spellEnd"/>
      <w:r>
        <w:rPr>
          <w:rFonts w:hint="eastAsia"/>
          <w:shd w:val="clear" w:color="auto" w:fill="FFFFFF"/>
        </w:rPr>
        <w:t xml:space="preserve">, </w:t>
      </w:r>
      <w:r>
        <w:rPr>
          <w:shd w:val="clear" w:color="auto" w:fill="FFFFFF"/>
        </w:rPr>
        <w:t xml:space="preserve">and the </w:t>
      </w:r>
      <w:r>
        <w:rPr>
          <w:rFonts w:hint="eastAsia"/>
          <w:shd w:val="clear" w:color="auto" w:fill="FFFFFF"/>
        </w:rPr>
        <w:t>calculat</w:t>
      </w:r>
      <w:r w:rsidRPr="00537287">
        <w:rPr>
          <w:rFonts w:hint="eastAsia"/>
          <w:shd w:val="clear" w:color="auto" w:fill="FFFFFF"/>
        </w:rPr>
        <w:t>io</w:t>
      </w:r>
      <w:r>
        <w:rPr>
          <w:rFonts w:hint="eastAsia"/>
        </w:rPr>
        <w:t>n formula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0"/>
        <w:gridCol w:w="1096"/>
      </w:tblGrid>
      <w:tr w:rsidR="008554A7" w14:paraId="5BDA46AD" w14:textId="77777777" w:rsidTr="00D932B6">
        <w:tc>
          <w:tcPr>
            <w:tcW w:w="7650" w:type="dxa"/>
            <w:vAlign w:val="center"/>
          </w:tcPr>
          <w:p w14:paraId="12CF0099" w14:textId="77777777" w:rsidR="008554A7" w:rsidRPr="0084222C" w:rsidRDefault="008554A7" w:rsidP="00D932B6">
            <w:pPr>
              <w:pStyle w:val="a0"/>
            </w:pPr>
            <m:oMathPara>
              <m:oMathParaPr>
                <m:jc m:val="center"/>
              </m:oMathParaPr>
              <m:oMath>
                <m:r>
                  <w:rPr>
                    <w:rFonts w:ascii="Cambria Math" w:hAnsi="Cambria Math"/>
                  </w:rPr>
                  <m:t>Stk</m:t>
                </m:r>
                <m:r>
                  <w:rPr>
                    <w:rFonts w:ascii="Cambria Math" w:hAnsi="Cambria Math" w:hint="eastAsia"/>
                  </w:rPr>
                  <m:t>=</m:t>
                </m:r>
                <m:r>
                  <m:rPr>
                    <m:sty m:val="p"/>
                  </m:rPr>
                  <w:rPr>
                    <w:rFonts w:ascii="Cambria Math" w:hAnsi="Cambria Math" w:hint="eastAsia"/>
                  </w:rPr>
                  <m:t>[(</m:t>
                </m:r>
                <m:r>
                  <m:rPr>
                    <m:sty m:val="p"/>
                  </m:rPr>
                  <w:rPr>
                    <w:rFonts w:ascii="Cambria Math" w:hAnsi="Cambria Math"/>
                  </w:rPr>
                  <m:t>1+</m:t>
                </m:r>
                <m:sSub>
                  <m:sSubPr>
                    <m:ctrlPr>
                      <w:rPr>
                        <w:rFonts w:ascii="Cambria Math" w:hAnsi="Cambria Math" w:cstheme="minorHAnsi"/>
                      </w:rPr>
                    </m:ctrlPr>
                  </m:sSubPr>
                  <m:e>
                    <m:r>
                      <w:rPr>
                        <w:rFonts w:ascii="Cambria Math" w:hAnsi="Cambria Math"/>
                      </w:rPr>
                      <m:t>ROI</m:t>
                    </m:r>
                  </m:e>
                  <m:sub>
                    <m:r>
                      <w:rPr>
                        <w:rFonts w:ascii="Cambria Math" w:hAnsi="Cambria Math"/>
                      </w:rPr>
                      <m:t>t</m:t>
                    </m:r>
                    <m:ctrlPr>
                      <w:rPr>
                        <w:rFonts w:ascii="Cambria Math" w:hAnsi="Cambria Math" w:cstheme="minorHAnsi" w:hint="eastAsia"/>
                      </w:rPr>
                    </m:ctrlP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1+</m:t>
                </m:r>
                <m:sSub>
                  <m:sSubPr>
                    <m:ctrlPr>
                      <w:rPr>
                        <w:rFonts w:ascii="Cambria Math" w:hAnsi="Cambria Math" w:cstheme="minorHAnsi"/>
                      </w:rPr>
                    </m:ctrlPr>
                  </m:sSubPr>
                  <m:e>
                    <m:r>
                      <w:rPr>
                        <w:rFonts w:ascii="Cambria Math" w:hAnsi="Cambria Math"/>
                      </w:rPr>
                      <m:t>ROI</m:t>
                    </m:r>
                  </m:e>
                  <m:sub>
                    <m:r>
                      <w:rPr>
                        <w:rFonts w:ascii="Cambria Math" w:hAnsi="Cambria Math"/>
                      </w:rPr>
                      <m:t>t</m:t>
                    </m:r>
                    <m:r>
                      <m:rPr>
                        <m:sty m:val="p"/>
                      </m:rPr>
                      <w:rPr>
                        <w:rFonts w:ascii="Cambria Math" w:hAnsi="Cambria Math"/>
                      </w:rPr>
                      <m:t>+1</m:t>
                    </m:r>
                    <m:ctrlPr>
                      <w:rPr>
                        <w:rFonts w:ascii="Cambria Math" w:hAnsi="Cambria Math" w:cstheme="minorHAnsi" w:hint="eastAsia"/>
                      </w:rPr>
                    </m:ctrlP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1+</m:t>
                </m:r>
                <m:sSub>
                  <m:sSubPr>
                    <m:ctrlPr>
                      <w:rPr>
                        <w:rFonts w:ascii="Cambria Math" w:hAnsi="Cambria Math" w:cstheme="minorHAnsi"/>
                      </w:rPr>
                    </m:ctrlPr>
                  </m:sSubPr>
                  <m:e>
                    <m:r>
                      <w:rPr>
                        <w:rFonts w:ascii="Cambria Math" w:hAnsi="Cambria Math"/>
                      </w:rPr>
                      <m:t>ROI</m:t>
                    </m:r>
                  </m:e>
                  <m:sub>
                    <m:r>
                      <w:rPr>
                        <w:rFonts w:ascii="Cambria Math" w:hAnsi="Cambria Math"/>
                      </w:rPr>
                      <m:t>t</m:t>
                    </m:r>
                    <m:r>
                      <m:rPr>
                        <m:sty m:val="p"/>
                      </m:rPr>
                      <w:rPr>
                        <w:rFonts w:ascii="Cambria Math" w:hAnsi="Cambria Math"/>
                      </w:rPr>
                      <m:t>+2</m:t>
                    </m:r>
                    <m:ctrlPr>
                      <w:rPr>
                        <w:rFonts w:ascii="Cambria Math" w:hAnsi="Cambria Math" w:cstheme="minorHAnsi" w:hint="eastAsia"/>
                      </w:rPr>
                    </m:ctrlPr>
                  </m:sub>
                </m:sSub>
                <m:r>
                  <m:rPr>
                    <m:sty m:val="p"/>
                  </m:rPr>
                  <w:rPr>
                    <w:rFonts w:ascii="Cambria Math" w:hAnsi="Cambria Math"/>
                  </w:rPr>
                  <m:t>%)×…×</m:t>
                </m:r>
                <m:r>
                  <m:rPr>
                    <m:sty m:val="p"/>
                  </m:rPr>
                  <w:rPr>
                    <w:rFonts w:ascii="Cambria Math" w:hAnsi="Cambria Math" w:hint="eastAsia"/>
                  </w:rPr>
                  <m:t>(</m:t>
                </m:r>
                <m:r>
                  <m:rPr>
                    <m:sty m:val="p"/>
                  </m:rPr>
                  <w:rPr>
                    <w:rFonts w:ascii="Cambria Math" w:hAnsi="Cambria Math"/>
                  </w:rPr>
                  <m:t>1+</m:t>
                </m:r>
                <m:sSub>
                  <m:sSubPr>
                    <m:ctrlPr>
                      <w:rPr>
                        <w:rFonts w:ascii="Cambria Math" w:hAnsi="Cambria Math" w:cstheme="minorHAnsi"/>
                      </w:rPr>
                    </m:ctrlPr>
                  </m:sSubPr>
                  <m:e>
                    <m:r>
                      <w:rPr>
                        <w:rFonts w:ascii="Cambria Math" w:hAnsi="Cambria Math"/>
                      </w:rPr>
                      <m:t>ROI</m:t>
                    </m:r>
                  </m:e>
                  <m:sub>
                    <m:r>
                      <w:rPr>
                        <w:rFonts w:ascii="Cambria Math" w:hAnsi="Cambria Math"/>
                      </w:rPr>
                      <m:t>t</m:t>
                    </m:r>
                    <m:r>
                      <m:rPr>
                        <m:sty m:val="p"/>
                      </m:rPr>
                      <w:rPr>
                        <w:rFonts w:ascii="Cambria Math" w:hAnsi="Cambria Math"/>
                      </w:rPr>
                      <m:t>+</m:t>
                    </m:r>
                    <m:r>
                      <w:rPr>
                        <w:rFonts w:ascii="Cambria Math" w:hAnsi="Cambria Math"/>
                      </w:rPr>
                      <m:t>n</m:t>
                    </m:r>
                    <m:ctrlPr>
                      <w:rPr>
                        <w:rFonts w:ascii="Cambria Math" w:hAnsi="Cambria Math" w:cstheme="minorHAnsi" w:hint="eastAsia"/>
                      </w:rPr>
                    </m:ctrlPr>
                  </m:sub>
                </m:sSub>
                <m:r>
                  <m:rPr>
                    <m:sty m:val="p"/>
                  </m:rPr>
                  <w:rPr>
                    <w:rFonts w:ascii="Cambria Math" w:hAnsi="Cambria Math"/>
                  </w:rPr>
                  <m:t>%)-1]×100%</m:t>
                </m:r>
              </m:oMath>
            </m:oMathPara>
          </w:p>
        </w:tc>
        <w:tc>
          <w:tcPr>
            <w:tcW w:w="845" w:type="dxa"/>
            <w:vAlign w:val="center"/>
          </w:tcPr>
          <w:p w14:paraId="2A56B7EA" w14:textId="77777777" w:rsidR="008554A7" w:rsidRDefault="008554A7" w:rsidP="00D932B6">
            <w:pPr>
              <w:pStyle w:val="a5"/>
            </w:pPr>
            <w:proofErr w:type="gramStart"/>
            <w:r>
              <w:t>( 5</w:t>
            </w:r>
            <w:proofErr w:type="gramEnd"/>
            <w:r>
              <w:t xml:space="preserve"> )</w:t>
            </w:r>
            <w:r w:rsidR="00DE6038">
              <w:fldChar w:fldCharType="begin"/>
            </w:r>
            <w:r w:rsidR="00DE6038">
              <w:instrText xml:space="preserve"> SEQ ( \* ARABIC </w:instrText>
            </w:r>
            <w:r w:rsidR="00000000">
              <w:fldChar w:fldCharType="separate"/>
            </w:r>
            <w:r w:rsidR="00DE6038">
              <w:rPr>
                <w:noProof/>
              </w:rPr>
              <w:fldChar w:fldCharType="end"/>
            </w:r>
          </w:p>
        </w:tc>
      </w:tr>
    </w:tbl>
    <w:p w14:paraId="5FD63D4D" w14:textId="695920FF" w:rsidR="008554A7" w:rsidRDefault="0096629E" w:rsidP="0096629E">
      <w:pPr>
        <w:pStyle w:val="a0"/>
        <w:ind w:left="960" w:firstLineChars="0" w:firstLine="0"/>
      </w:pPr>
      <w:r>
        <w:t xml:space="preserve">(2) </w:t>
      </w:r>
      <w:r w:rsidR="008554A7">
        <w:rPr>
          <w:rFonts w:hint="eastAsia"/>
        </w:rPr>
        <w:t>Stock Price Risk Coefficient</w:t>
      </w:r>
    </w:p>
    <w:p w14:paraId="38FAA6BD" w14:textId="77777777" w:rsidR="008554A7" w:rsidRDefault="008554A7" w:rsidP="008554A7">
      <w:pPr>
        <w:pStyle w:val="a0"/>
      </w:pPr>
      <w:r w:rsidRPr="00DE6038">
        <w:rPr>
          <w:rFonts w:hint="eastAsia"/>
        </w:rPr>
        <w:t>The measurement of the stock pric</w:t>
      </w:r>
      <w:r>
        <w:rPr>
          <w:rFonts w:hint="eastAsia"/>
        </w:rPr>
        <w:t>e risk coefficient uses the</w:t>
      </w:r>
      <w:r>
        <w:t xml:space="preserve"> Beta value from the Capital Asset Pricing Model (CAPM). The basic theory of this model is </w:t>
      </w:r>
      <w:r>
        <w:rPr>
          <w:rFonts w:hint="eastAsia"/>
        </w:rPr>
        <w:t>based on the po</w:t>
      </w:r>
      <w:r>
        <w:t>rtf</w:t>
      </w:r>
      <w:r>
        <w:rPr>
          <w:rFonts w:hint="eastAsia"/>
        </w:rPr>
        <w:t>olio t</w:t>
      </w:r>
      <w:r>
        <w:t>heory propos</w:t>
      </w:r>
      <w:r>
        <w:rPr>
          <w:rFonts w:hint="eastAsia"/>
        </w:rPr>
        <w:t>ed by Markowitz in 1952. Its purpose is to const</w:t>
      </w:r>
      <w:r>
        <w:t>ruct an opti</w:t>
      </w:r>
      <w:r>
        <w:rPr>
          <w:rFonts w:hint="eastAsia"/>
        </w:rPr>
        <w:t>mal po</w:t>
      </w:r>
      <w:r>
        <w:t>rtfolio among a large numbe</w:t>
      </w:r>
      <w:r>
        <w:rPr>
          <w:rFonts w:hint="eastAsia"/>
        </w:rPr>
        <w:t>r of risky assets. However, in the early stages of the model's proposal, due to the immaturity of computer technology, calculating using this model still required a lot of time and effort, making it difficult to use in investment practice. Subsequently, in the 1960s, American fin</w:t>
      </w:r>
      <w:r>
        <w:t>ancial schol</w:t>
      </w:r>
      <w:r>
        <w:rPr>
          <w:rFonts w:hint="eastAsia"/>
        </w:rPr>
        <w:t>ars graduall</w:t>
      </w:r>
      <w:r w:rsidRPr="00132C26">
        <w:t>y developed the Ca</w:t>
      </w:r>
      <w:r>
        <w:rPr>
          <w:rFonts w:hint="eastAsia"/>
        </w:rPr>
        <w:t>pital Asset Pricing Model, which is most commonly used today, from an empirical perspective. The model's formula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0"/>
        <w:gridCol w:w="1096"/>
      </w:tblGrid>
      <w:tr w:rsidR="008554A7" w14:paraId="75A8E1D2" w14:textId="77777777" w:rsidTr="00D932B6">
        <w:tc>
          <w:tcPr>
            <w:tcW w:w="7508" w:type="dxa"/>
          </w:tcPr>
          <w:p w14:paraId="02DB6C7E" w14:textId="77777777" w:rsidR="008554A7" w:rsidRDefault="00000000" w:rsidP="00D932B6">
            <w:pPr>
              <w:pStyle w:val="a0"/>
              <w:ind w:firstLineChars="0" w:firstLine="0"/>
            </w:pPr>
            <m:oMathPara>
              <m:oMath>
                <m:sSub>
                  <m:sSubPr>
                    <m:ctrlPr>
                      <w:rPr>
                        <w:rFonts w:ascii="Cambria Math" w:hAnsi="Cambria Math"/>
                      </w:rPr>
                    </m:ctrlPr>
                  </m:sSubPr>
                  <m:e>
                    <m:r>
                      <w:rPr>
                        <w:rFonts w:ascii="Cambria Math" w:hAnsi="Cambria Math"/>
                      </w:rPr>
                      <m:t>ROI</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d>
                  <m:dPr>
                    <m:ctrlPr>
                      <w:rPr>
                        <w:rFonts w:ascii="Cambria Math" w:hAnsi="Cambria Math"/>
                      </w:rPr>
                    </m:ctrlPr>
                  </m:dPr>
                  <m:e>
                    <m:sSub>
                      <m:sSubPr>
                        <m:ctrlPr>
                          <w:rPr>
                            <w:rFonts w:ascii="Cambria Math" w:hAnsi="Cambria Math"/>
                          </w:rPr>
                        </m:ctrlPr>
                      </m:sSubPr>
                      <m:e>
                        <m:r>
                          <w:rPr>
                            <w:rFonts w:ascii="Cambria Math" w:hAnsi="Cambria Math"/>
                          </w:rPr>
                          <m:t>ROI</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r>
                          <m:rPr>
                            <m:sty m:val="p"/>
                          </m:rPr>
                          <w:rPr>
                            <w:rFonts w:ascii="Cambria Math" w:hAnsi="Cambria Math"/>
                          </w:rPr>
                          <m:t>,</m:t>
                        </m:r>
                        <m:r>
                          <w:rPr>
                            <w:rFonts w:ascii="Cambria Math" w:hAnsi="Cambria Math"/>
                          </w:rPr>
                          <m:t>t</m:t>
                        </m:r>
                      </m:sub>
                    </m:sSub>
                  </m:e>
                </m:d>
                <m:r>
                  <m:rPr>
                    <m:sty m:val="p"/>
                  </m:rP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t</m:t>
                    </m:r>
                  </m:sub>
                </m:sSub>
              </m:oMath>
            </m:oMathPara>
          </w:p>
        </w:tc>
        <w:tc>
          <w:tcPr>
            <w:tcW w:w="987" w:type="dxa"/>
            <w:vAlign w:val="center"/>
          </w:tcPr>
          <w:p w14:paraId="36DDCA5B" w14:textId="77777777" w:rsidR="008554A7" w:rsidRDefault="008554A7" w:rsidP="00D932B6">
            <w:pPr>
              <w:pStyle w:val="a5"/>
            </w:pPr>
            <w:proofErr w:type="gramStart"/>
            <w:r>
              <w:t>( 6</w:t>
            </w:r>
            <w:proofErr w:type="gramEnd"/>
            <w:r>
              <w:t xml:space="preserve"> )</w:t>
            </w:r>
            <w:r w:rsidR="00DE6038">
              <w:fldChar w:fldCharType="begin"/>
            </w:r>
            <w:r w:rsidR="00DE6038">
              <w:instrText xml:space="preserve"> SEQ ( \* ARABIC </w:instrText>
            </w:r>
            <w:r w:rsidR="00000000">
              <w:fldChar w:fldCharType="separate"/>
            </w:r>
            <w:r w:rsidR="00DE6038">
              <w:rPr>
                <w:noProof/>
              </w:rPr>
              <w:fldChar w:fldCharType="end"/>
            </w:r>
          </w:p>
        </w:tc>
      </w:tr>
    </w:tbl>
    <w:p w14:paraId="6AEC212F" w14:textId="77777777" w:rsidR="008554A7" w:rsidRDefault="00000000" w:rsidP="008554A7">
      <w:pPr>
        <w:pStyle w:val="a0"/>
      </w:pPr>
      <m:oMath>
        <m:sSub>
          <m:sSubPr>
            <m:ctrlPr>
              <w:rPr>
                <w:rFonts w:ascii="Cambria Math" w:hAnsi="Cambria Math"/>
              </w:rPr>
            </m:ctrlPr>
          </m:sSubPr>
          <m:e>
            <m:r>
              <w:rPr>
                <w:rFonts w:ascii="Cambria Math" w:hAnsi="Cambria Math"/>
              </w:rPr>
              <m:t>R</m:t>
            </m:r>
          </m:e>
          <m:sub>
            <m:r>
              <w:rPr>
                <w:rFonts w:ascii="Cambria Math" w:hAnsi="Cambria Math"/>
              </w:rPr>
              <m:t>f</m:t>
            </m:r>
            <m:r>
              <m:rPr>
                <m:sty m:val="p"/>
              </m:rPr>
              <w:rPr>
                <w:rFonts w:ascii="Cambria Math" w:hAnsi="Cambria Math"/>
              </w:rPr>
              <m:t>,</m:t>
            </m:r>
            <m:r>
              <w:rPr>
                <w:rFonts w:ascii="Cambria Math" w:hAnsi="Cambria Math"/>
              </w:rPr>
              <m:t>t</m:t>
            </m:r>
          </m:sub>
        </m:sSub>
      </m:oMath>
      <w:r w:rsidR="008554A7">
        <w:rPr>
          <w:rFonts w:hint="eastAsia"/>
        </w:rPr>
        <w:t>is the r</w:t>
      </w:r>
      <w:r w:rsidR="008554A7">
        <w:t>isk-</w:t>
      </w:r>
      <w:r w:rsidR="008554A7">
        <w:rPr>
          <w:rFonts w:hint="eastAsia"/>
        </w:rPr>
        <w:t xml:space="preserve">free rate at time t, is the </w:t>
      </w:r>
      <m:oMath>
        <m:sSub>
          <m:sSubPr>
            <m:ctrlPr>
              <w:rPr>
                <w:rFonts w:ascii="Cambria Math" w:hAnsi="Cambria Math"/>
              </w:rPr>
            </m:ctrlPr>
          </m:sSubPr>
          <m:e>
            <m:r>
              <w:rPr>
                <w:rFonts w:ascii="Cambria Math" w:hAnsi="Cambria Math"/>
              </w:rPr>
              <m:t>ROI</m:t>
            </m:r>
          </m:e>
          <m:sub>
            <m:r>
              <w:rPr>
                <w:rFonts w:ascii="Cambria Math" w:hAnsi="Cambria Math"/>
              </w:rPr>
              <m:t>i</m:t>
            </m:r>
            <m:r>
              <m:rPr>
                <m:sty m:val="p"/>
              </m:rPr>
              <w:rPr>
                <w:rFonts w:ascii="Cambria Math" w:hAnsi="Cambria Math"/>
              </w:rPr>
              <m:t>,</m:t>
            </m:r>
            <m:r>
              <w:rPr>
                <w:rFonts w:ascii="Cambria Math" w:hAnsi="Cambria Math"/>
              </w:rPr>
              <m:t>t</m:t>
            </m:r>
          </m:sub>
        </m:sSub>
      </m:oMath>
      <w:r w:rsidR="008554A7">
        <w:rPr>
          <w:rFonts w:hint="eastAsia"/>
        </w:rPr>
        <w:t>return r</w:t>
      </w:r>
      <w:r w:rsidR="008554A7">
        <w:t xml:space="preserve">ate </w:t>
      </w:r>
      <w:r w:rsidR="008554A7">
        <w:rPr>
          <w:rFonts w:hint="eastAsia"/>
        </w:rPr>
        <w:t>of individual st</w:t>
      </w:r>
      <w:r w:rsidR="008554A7">
        <w:t>ock (</w:t>
      </w:r>
      <w:proofErr w:type="spellStart"/>
      <w:r w:rsidR="008554A7">
        <w:t>i</w:t>
      </w:r>
      <w:proofErr w:type="spellEnd"/>
      <w:r w:rsidR="008554A7">
        <w:t xml:space="preserve">) at time </w:t>
      </w:r>
      <w:r w:rsidR="008554A7">
        <w:rPr>
          <w:rFonts w:hint="eastAsia"/>
        </w:rPr>
        <w:t>t, is the return</w:t>
      </w:r>
      <m:oMath>
        <m:sSub>
          <m:sSubPr>
            <m:ctrlPr>
              <w:rPr>
                <w:rFonts w:ascii="Cambria Math" w:hAnsi="Cambria Math"/>
              </w:rPr>
            </m:ctrlPr>
          </m:sSubPr>
          <m:e>
            <m:r>
              <w:rPr>
                <w:rFonts w:ascii="Cambria Math" w:hAnsi="Cambria Math"/>
              </w:rPr>
              <m:t>ROI</m:t>
            </m:r>
          </m:e>
          <m:sub>
            <m:r>
              <w:rPr>
                <w:rFonts w:ascii="Cambria Math" w:hAnsi="Cambria Math"/>
              </w:rPr>
              <m:t>m</m:t>
            </m:r>
            <m:r>
              <m:rPr>
                <m:sty m:val="p"/>
              </m:rPr>
              <w:rPr>
                <w:rFonts w:ascii="Cambria Math" w:hAnsi="Cambria Math"/>
              </w:rPr>
              <m:t>,</m:t>
            </m:r>
            <m:r>
              <w:rPr>
                <w:rFonts w:ascii="Cambria Math" w:hAnsi="Cambria Math"/>
              </w:rPr>
              <m:t>t</m:t>
            </m:r>
          </m:sub>
        </m:sSub>
      </m:oMath>
      <w:r w:rsidR="008554A7">
        <w:rPr>
          <w:rFonts w:hint="eastAsia"/>
        </w:rPr>
        <w:t xml:space="preserve"> rate of</w:t>
      </w:r>
      <w:r w:rsidR="008554A7">
        <w:t xml:space="preserve"> the</w:t>
      </w:r>
      <w:r w:rsidR="008554A7">
        <w:rPr>
          <w:rFonts w:hint="eastAsia"/>
        </w:rPr>
        <w:t xml:space="preserve"> overall market </w:t>
      </w:r>
      <w:r w:rsidR="008554A7">
        <w:t>(m) at time t, a</w:t>
      </w:r>
      <w:r w:rsidR="008554A7">
        <w:rPr>
          <w:rFonts w:hint="eastAsia"/>
        </w:rPr>
        <w:t xml:space="preserve">nd is the error </w:t>
      </w:r>
      <m:oMath>
        <m:sSub>
          <m:sSubPr>
            <m:ctrlPr>
              <w:rPr>
                <w:rFonts w:ascii="Cambria Math" w:hAnsi="Cambria Math"/>
              </w:rPr>
            </m:ctrlPr>
          </m:sSubPr>
          <m:e>
            <m:r>
              <w:rPr>
                <w:rFonts w:ascii="Cambria Math" w:hAnsi="Cambria Math"/>
              </w:rPr>
              <m:t>ε</m:t>
            </m:r>
          </m:e>
          <m:sub>
            <m:r>
              <w:rPr>
                <w:rFonts w:ascii="Cambria Math" w:hAnsi="Cambria Math"/>
              </w:rPr>
              <m:t>t</m:t>
            </m:r>
          </m:sub>
        </m:sSub>
      </m:oMath>
      <w:r w:rsidR="008554A7">
        <w:rPr>
          <w:rFonts w:hint="eastAsia"/>
        </w:rPr>
        <w:t>term. The calculation formul</w:t>
      </w:r>
      <w:r w:rsidR="008554A7">
        <w:t>a for the Beta v</w:t>
      </w:r>
      <w:r w:rsidR="008554A7">
        <w:rPr>
          <w:rFonts w:hint="eastAsia"/>
        </w:rPr>
        <w:t>alue in the above equation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0"/>
        <w:gridCol w:w="1096"/>
      </w:tblGrid>
      <w:tr w:rsidR="008554A7" w14:paraId="77A8B00E" w14:textId="77777777" w:rsidTr="00D932B6">
        <w:tc>
          <w:tcPr>
            <w:tcW w:w="7792" w:type="dxa"/>
          </w:tcPr>
          <w:p w14:paraId="7FC1F77D" w14:textId="77777777" w:rsidR="008554A7" w:rsidRDefault="00000000" w:rsidP="00D932B6">
            <w:pPr>
              <w:pStyle w:val="a0"/>
              <w:ind w:firstLineChars="0" w:firstLine="0"/>
            </w:pPr>
            <m:oMathPara>
              <m:oMath>
                <m:sSub>
                  <m:sSubPr>
                    <m:ctrlPr>
                      <w:rPr>
                        <w:rFonts w:ascii="Cambria Math" w:hAnsi="Cambria Math" w:cstheme="minorHAnsi"/>
                      </w:rPr>
                    </m:ctrlPr>
                  </m:sSubPr>
                  <m:e>
                    <m:acc>
                      <m:accPr>
                        <m:ctrlPr>
                          <w:rPr>
                            <w:rFonts w:ascii="Cambria Math" w:hAnsi="Cambria Math" w:cstheme="minorHAnsi"/>
                            <w:i/>
                          </w:rPr>
                        </m:ctrlPr>
                      </m:accPr>
                      <m:e>
                        <m:r>
                          <w:rPr>
                            <w:rFonts w:ascii="Cambria Math" w:hAnsi="Cambria Math" w:cstheme="minorHAnsi"/>
                          </w:rPr>
                          <m:t>β</m:t>
                        </m:r>
                      </m:e>
                    </m:acc>
                  </m:e>
                  <m:sub>
                    <m:r>
                      <w:rPr>
                        <w:rFonts w:ascii="Cambria Math" w:hAnsi="Cambria Math" w:cstheme="minorHAnsi"/>
                      </w:rPr>
                      <m:t>1</m:t>
                    </m:r>
                  </m:sub>
                </m:sSub>
                <m:r>
                  <m:rPr>
                    <m:sty m:val="p"/>
                  </m:rPr>
                  <w:rPr>
                    <w:rFonts w:ascii="Cambria Math" w:hAnsi="Cambria Math"/>
                  </w:rPr>
                  <m:t>=</m:t>
                </m:r>
                <m:nary>
                  <m:naryPr>
                    <m:chr m:val="∑"/>
                    <m:limLoc m:val="undOvr"/>
                    <m:subHide m:val="1"/>
                    <m:supHide m:val="1"/>
                    <m:ctrlPr>
                      <w:rPr>
                        <w:rFonts w:ascii="Cambria Math" w:hAnsi="Cambria Math" w:cstheme="minorHAnsi"/>
                      </w:rPr>
                    </m:ctrlPr>
                  </m:naryPr>
                  <m:sub/>
                  <m:sup/>
                  <m:e>
                    <m:r>
                      <m:rPr>
                        <m:sty m:val="p"/>
                      </m:rPr>
                      <w:rPr>
                        <w:rFonts w:ascii="Cambria Math" w:hAnsi="Cambria Math"/>
                      </w:rPr>
                      <m:t>(</m:t>
                    </m:r>
                    <m:sSub>
                      <m:sSubPr>
                        <m:ctrlPr>
                          <w:rPr>
                            <w:rFonts w:ascii="Cambria Math" w:hAnsi="Cambria Math"/>
                          </w:rPr>
                        </m:ctrlPr>
                      </m:sSubPr>
                      <m:e>
                        <m:r>
                          <w:rPr>
                            <w:rFonts w:ascii="Cambria Math" w:hAnsi="Cambria Math"/>
                          </w:rPr>
                          <m:t>ROI</m:t>
                        </m:r>
                      </m:e>
                      <m:sub>
                        <m:r>
                          <w:rPr>
                            <w:rFonts w:ascii="Cambria Math" w:hAnsi="Cambria Math"/>
                          </w:rPr>
                          <m:t>i</m:t>
                        </m:r>
                        <m:r>
                          <m:rPr>
                            <m:sty m:val="p"/>
                          </m:rPr>
                          <w:rPr>
                            <w:rFonts w:ascii="Cambria Math" w:hAnsi="Cambria Math"/>
                          </w:rPr>
                          <m:t>,</m:t>
                        </m:r>
                        <m:r>
                          <w:rPr>
                            <w:rFonts w:ascii="Cambria Math" w:hAnsi="Cambria Math"/>
                          </w:rPr>
                          <m:t>t</m:t>
                        </m:r>
                      </m:sub>
                    </m:sSub>
                    <m:r>
                      <m:rPr>
                        <m:sty m:val="p"/>
                      </m:rPr>
                      <w:rPr>
                        <w:rFonts w:ascii="Cambria Math" w:hAnsi="Cambria Math"/>
                      </w:rPr>
                      <m:t>-</m:t>
                    </m:r>
                    <m:bar>
                      <m:barPr>
                        <m:pos m:val="top"/>
                        <m:ctrlPr>
                          <w:rPr>
                            <w:rFonts w:ascii="Cambria Math" w:hAnsi="Cambria Math" w:cstheme="minorHAnsi"/>
                          </w:rPr>
                        </m:ctrlPr>
                      </m:barPr>
                      <m:e>
                        <m:sSub>
                          <m:sSubPr>
                            <m:ctrlPr>
                              <w:rPr>
                                <w:rFonts w:ascii="Cambria Math" w:hAnsi="Cambria Math"/>
                              </w:rPr>
                            </m:ctrlPr>
                          </m:sSubPr>
                          <m:e>
                            <m:r>
                              <w:rPr>
                                <w:rFonts w:ascii="Cambria Math" w:hAnsi="Cambria Math"/>
                              </w:rPr>
                              <m:t>ROI</m:t>
                            </m:r>
                          </m:e>
                          <m:sub>
                            <m:r>
                              <w:rPr>
                                <w:rFonts w:ascii="Cambria Math" w:hAnsi="Cambria Math"/>
                              </w:rPr>
                              <m:t>i</m:t>
                            </m:r>
                          </m:sub>
                        </m:sSub>
                      </m:e>
                    </m:bar>
                  </m:e>
                </m:nary>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m:t xml:space="preserve"> </m:t>
                        </m:r>
                        <m:sSub>
                          <m:sSubPr>
                            <m:ctrlPr>
                              <w:rPr>
                                <w:rFonts w:ascii="Cambria Math" w:hAnsi="Cambria Math"/>
                              </w:rPr>
                            </m:ctrlPr>
                          </m:sSubPr>
                          <m:e>
                            <m:r>
                              <w:rPr>
                                <w:rFonts w:ascii="Cambria Math" w:hAnsi="Cambria Math"/>
                              </w:rPr>
                              <m:t>ROI</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r>
                              <m:rPr>
                                <m:sty m:val="p"/>
                              </m:rPr>
                              <w:rPr>
                                <w:rFonts w:ascii="Cambria Math" w:hAnsi="Cambria Math"/>
                              </w:rPr>
                              <m:t>,</m:t>
                            </m:r>
                            <m:r>
                              <w:rPr>
                                <w:rFonts w:ascii="Cambria Math" w:hAnsi="Cambria Math"/>
                              </w:rPr>
                              <m:t>t</m:t>
                            </m:r>
                          </m:sub>
                        </m:sSub>
                      </m:e>
                    </m:d>
                    <m:r>
                      <m:rPr>
                        <m:sty m:val="p"/>
                      </m:rPr>
                      <w:rPr>
                        <w:rFonts w:ascii="Cambria Math" w:hAnsi="Cambria Math"/>
                      </w:rPr>
                      <m:t>-</m:t>
                    </m:r>
                    <m:bar>
                      <m:barPr>
                        <m:pos m:val="top"/>
                        <m:ctrlPr>
                          <w:rPr>
                            <w:rFonts w:ascii="Cambria Math" w:hAnsi="Cambria Math" w:cstheme="minorHAnsi"/>
                          </w:rPr>
                        </m:ctrlPr>
                      </m:barPr>
                      <m:e>
                        <m:sSub>
                          <m:sSubPr>
                            <m:ctrlPr>
                              <w:rPr>
                                <w:rFonts w:ascii="Cambria Math" w:hAnsi="Cambria Math"/>
                              </w:rPr>
                            </m:ctrlPr>
                          </m:sSubPr>
                          <m:e>
                            <m:r>
                              <w:rPr>
                                <w:rFonts w:ascii="Cambria Math" w:hAnsi="Cambria Math"/>
                              </w:rPr>
                              <m:t>ROI</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e>
                    </m:bar>
                  </m:e>
                </m:d>
                <m:r>
                  <m:rPr>
                    <m:sty m:val="p"/>
                  </m:rPr>
                  <w:rPr>
                    <w:rFonts w:ascii="Cambria Math" w:hAnsi="Cambria Math"/>
                  </w:rPr>
                  <m:t>÷</m:t>
                </m:r>
                <m:nary>
                  <m:naryPr>
                    <m:chr m:val="∑"/>
                    <m:limLoc m:val="undOvr"/>
                    <m:subHide m:val="1"/>
                    <m:supHide m:val="1"/>
                    <m:ctrlPr>
                      <w:rPr>
                        <w:rFonts w:ascii="Cambria Math" w:hAnsi="Cambria Math" w:cstheme="minorHAnsi"/>
                      </w:rPr>
                    </m:ctrlPr>
                  </m:naryPr>
                  <m:sub/>
                  <m:sup/>
                  <m:e>
                    <m:sSup>
                      <m:sSupPr>
                        <m:ctrlPr>
                          <w:rPr>
                            <w:rFonts w:ascii="Cambria Math" w:hAnsi="Cambria Math" w:cstheme="minorHAnsi"/>
                            <w:i/>
                          </w:rPr>
                        </m:ctrlPr>
                      </m:sSupPr>
                      <m:e>
                        <m:d>
                          <m:dPr>
                            <m:begChr m:val="["/>
                            <m:endChr m:val="]"/>
                            <m:ctrlPr>
                              <w:rPr>
                                <w:rFonts w:ascii="Cambria Math" w:hAnsi="Cambria Math"/>
                              </w:rPr>
                            </m:ctrlPr>
                          </m:dPr>
                          <m:e>
                            <m:d>
                              <m:dPr>
                                <m:ctrlPr>
                                  <w:rPr>
                                    <w:rFonts w:ascii="Cambria Math" w:hAnsi="Cambria Math"/>
                                  </w:rPr>
                                </m:ctrlPr>
                              </m:dPr>
                              <m:e>
                                <m:r>
                                  <m:rPr>
                                    <m:sty m:val="p"/>
                                  </m:rPr>
                                  <w:rPr>
                                    <w:rFonts w:ascii="Cambria Math" w:hAnsi="Cambria Math"/>
                                  </w:rPr>
                                  <m:t xml:space="preserve"> </m:t>
                                </m:r>
                                <m:sSub>
                                  <m:sSubPr>
                                    <m:ctrlPr>
                                      <w:rPr>
                                        <w:rFonts w:ascii="Cambria Math" w:hAnsi="Cambria Math"/>
                                      </w:rPr>
                                    </m:ctrlPr>
                                  </m:sSubPr>
                                  <m:e>
                                    <m:r>
                                      <w:rPr>
                                        <w:rFonts w:ascii="Cambria Math" w:hAnsi="Cambria Math"/>
                                      </w:rPr>
                                      <m:t>ROI</m:t>
                                    </m:r>
                                  </m:e>
                                  <m:sub>
                                    <m:r>
                                      <w:rPr>
                                        <w:rFonts w:ascii="Cambria Math" w:hAnsi="Cambria Math"/>
                                      </w:rPr>
                                      <m:t>m</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r>
                                      <m:rPr>
                                        <m:sty m:val="p"/>
                                      </m:rPr>
                                      <w:rPr>
                                        <w:rFonts w:ascii="Cambria Math" w:hAnsi="Cambria Math"/>
                                      </w:rPr>
                                      <m:t>,</m:t>
                                    </m:r>
                                    <m:r>
                                      <w:rPr>
                                        <w:rFonts w:ascii="Cambria Math" w:hAnsi="Cambria Math"/>
                                      </w:rPr>
                                      <m:t>t</m:t>
                                    </m:r>
                                  </m:sub>
                                </m:sSub>
                              </m:e>
                            </m:d>
                            <m:r>
                              <m:rPr>
                                <m:sty m:val="p"/>
                              </m:rPr>
                              <w:rPr>
                                <w:rFonts w:ascii="Cambria Math" w:hAnsi="Cambria Math"/>
                              </w:rPr>
                              <m:t>-</m:t>
                            </m:r>
                            <m:bar>
                              <m:barPr>
                                <m:pos m:val="top"/>
                                <m:ctrlPr>
                                  <w:rPr>
                                    <w:rFonts w:ascii="Cambria Math" w:hAnsi="Cambria Math" w:cstheme="minorHAnsi"/>
                                  </w:rPr>
                                </m:ctrlPr>
                              </m:barPr>
                              <m:e>
                                <m:sSub>
                                  <m:sSubPr>
                                    <m:ctrlPr>
                                      <w:rPr>
                                        <w:rFonts w:ascii="Cambria Math" w:hAnsi="Cambria Math"/>
                                      </w:rPr>
                                    </m:ctrlPr>
                                  </m:sSubPr>
                                  <m:e>
                                    <m:r>
                                      <w:rPr>
                                        <w:rFonts w:ascii="Cambria Math" w:hAnsi="Cambria Math"/>
                                      </w:rPr>
                                      <m:t>ROI</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f</m:t>
                                    </m:r>
                                  </m:sub>
                                </m:sSub>
                              </m:e>
                            </m:bar>
                          </m:e>
                        </m:d>
                      </m:e>
                      <m:sup>
                        <m:r>
                          <w:rPr>
                            <w:rFonts w:ascii="Cambria Math" w:hAnsi="Cambria Math" w:cstheme="minorHAnsi"/>
                          </w:rPr>
                          <m:t>2</m:t>
                        </m:r>
                      </m:sup>
                    </m:sSup>
                  </m:e>
                </m:nary>
              </m:oMath>
            </m:oMathPara>
          </w:p>
        </w:tc>
        <w:tc>
          <w:tcPr>
            <w:tcW w:w="703" w:type="dxa"/>
            <w:vAlign w:val="center"/>
          </w:tcPr>
          <w:p w14:paraId="4F407A82" w14:textId="77777777" w:rsidR="008554A7" w:rsidRDefault="008554A7" w:rsidP="00D932B6">
            <w:pPr>
              <w:pStyle w:val="a5"/>
            </w:pPr>
            <w:proofErr w:type="gramStart"/>
            <w:r>
              <w:t>( 7</w:t>
            </w:r>
            <w:proofErr w:type="gramEnd"/>
            <w:r>
              <w:t xml:space="preserve"> )</w:t>
            </w:r>
            <w:r w:rsidR="00DE6038">
              <w:fldChar w:fldCharType="begin"/>
            </w:r>
            <w:r w:rsidR="00DE6038">
              <w:instrText xml:space="preserve"> SEQ ( \* ARABIC </w:instrText>
            </w:r>
            <w:r w:rsidR="00000000">
              <w:fldChar w:fldCharType="separate"/>
            </w:r>
            <w:r w:rsidR="00DE6038">
              <w:rPr>
                <w:noProof/>
              </w:rPr>
              <w:fldChar w:fldCharType="end"/>
            </w:r>
          </w:p>
        </w:tc>
      </w:tr>
    </w:tbl>
    <w:p w14:paraId="1D76F955" w14:textId="77777777" w:rsidR="008554A7" w:rsidRPr="0096629E" w:rsidRDefault="008554A7" w:rsidP="0096629E">
      <w:pPr>
        <w:pStyle w:val="a0"/>
        <w:numPr>
          <w:ilvl w:val="0"/>
          <w:numId w:val="1"/>
        </w:numPr>
        <w:ind w:firstLineChars="0"/>
        <w:rPr>
          <w:shd w:val="clear" w:color="auto" w:fill="FFFFFF"/>
        </w:rPr>
      </w:pPr>
      <w:r w:rsidRPr="0096629E">
        <w:rPr>
          <w:rFonts w:hint="eastAsia"/>
          <w:shd w:val="clear" w:color="auto" w:fill="FFFFFF"/>
        </w:rPr>
        <w:lastRenderedPageBreak/>
        <w:t>Pri</w:t>
      </w:r>
      <w:r w:rsidRPr="0096629E">
        <w:rPr>
          <w:shd w:val="clear" w:color="auto" w:fill="FFFFFF"/>
        </w:rPr>
        <w:t>ce-Book Ratio (</w:t>
      </w:r>
      <w:r w:rsidRPr="0096629E">
        <w:rPr>
          <w:rFonts w:hint="eastAsia"/>
          <w:shd w:val="clear" w:color="auto" w:fill="FFFFFF"/>
        </w:rPr>
        <w:t>PB)</w:t>
      </w:r>
    </w:p>
    <w:p w14:paraId="7847E93F" w14:textId="77777777" w:rsidR="008554A7" w:rsidRDefault="008554A7" w:rsidP="008554A7">
      <w:pPr>
        <w:pStyle w:val="a0"/>
      </w:pPr>
      <w:r>
        <w:rPr>
          <w:rFonts w:hint="eastAsia"/>
        </w:rPr>
        <w:t>The purpose of this ratio is to calculate the multiple of the company's stock price to its book value, which is to measure the stock price using the company's value, and to understand investors' preferences for the company's stock price. Usually, PB&lt;1 me</w:t>
      </w:r>
      <w:r>
        <w:t>ans the stock pr</w:t>
      </w:r>
      <w:r>
        <w:rPr>
          <w:rFonts w:hint="eastAsia"/>
        </w:rPr>
        <w:t>ice is currently below the company's book value, so it can be considered for purchase. Conversely, PB&gt;1 means the stock p</w:t>
      </w:r>
      <w:r>
        <w:t>rice is currentl</w:t>
      </w:r>
      <w:r>
        <w:rPr>
          <w:rFonts w:hint="eastAsia"/>
        </w:rPr>
        <w:t>y above the company's book value, and it can be considered for sale, but it is not recommended to enter at this time because the potential return rate is lower. The calculation formula for the Price-Book Ratio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0"/>
        <w:gridCol w:w="976"/>
      </w:tblGrid>
      <w:tr w:rsidR="008554A7" w14:paraId="544AD8BD" w14:textId="77777777" w:rsidTr="00D932B6">
        <w:tc>
          <w:tcPr>
            <w:tcW w:w="8217" w:type="dxa"/>
          </w:tcPr>
          <w:p w14:paraId="79CC1F01" w14:textId="77777777" w:rsidR="008554A7" w:rsidRDefault="008554A7" w:rsidP="00D932B6">
            <w:pPr>
              <w:pStyle w:val="a0"/>
              <w:ind w:firstLineChars="0" w:firstLine="0"/>
            </w:pPr>
            <m:oMathPara>
              <m:oMath>
                <m:r>
                  <w:rPr>
                    <w:rFonts w:ascii="Cambria Math" w:hAnsi="Cambria Math" w:hint="eastAsia"/>
                  </w:rPr>
                  <m:t>P</m:t>
                </m:r>
                <m:r>
                  <w:rPr>
                    <w:rFonts w:ascii="Cambria Math" w:hAnsi="Cambria Math"/>
                  </w:rPr>
                  <m:t>B=</m:t>
                </m:r>
                <m:r>
                  <w:rPr>
                    <w:rFonts w:ascii="Cambria Math" w:hAnsi="Cambria Math" w:hint="eastAsia"/>
                  </w:rPr>
                  <m:t>收盤價</m:t>
                </m:r>
                <m:r>
                  <w:rPr>
                    <w:rFonts w:ascii="Cambria Math" w:hAnsi="Cambria Math"/>
                  </w:rPr>
                  <m:t>÷</m:t>
                </m:r>
                <m:r>
                  <w:rPr>
                    <w:rFonts w:ascii="Cambria Math" w:hAnsi="Cambria Math" w:hint="eastAsia"/>
                  </w:rPr>
                  <m:t>每股淨值</m:t>
                </m:r>
              </m:oMath>
            </m:oMathPara>
          </w:p>
        </w:tc>
        <w:tc>
          <w:tcPr>
            <w:tcW w:w="278" w:type="dxa"/>
          </w:tcPr>
          <w:p w14:paraId="26CE52CA" w14:textId="77777777" w:rsidR="008554A7" w:rsidRDefault="008554A7" w:rsidP="00D932B6">
            <w:pPr>
              <w:pStyle w:val="a5"/>
            </w:pPr>
            <w:r>
              <w:t>(8)</w:t>
            </w:r>
            <w:r w:rsidR="00DE6038">
              <w:fldChar w:fldCharType="begin"/>
            </w:r>
            <w:r w:rsidR="00DE6038">
              <w:instrText xml:space="preserve"> SEQ ( \* ARABIC </w:instrText>
            </w:r>
            <w:r w:rsidR="00000000">
              <w:fldChar w:fldCharType="separate"/>
            </w:r>
            <w:r w:rsidR="00DE6038">
              <w:rPr>
                <w:noProof/>
              </w:rPr>
              <w:fldChar w:fldCharType="end"/>
            </w:r>
          </w:p>
        </w:tc>
      </w:tr>
    </w:tbl>
    <w:p w14:paraId="56699DD4" w14:textId="77777777" w:rsidR="008554A7" w:rsidRPr="0096629E" w:rsidRDefault="008554A7" w:rsidP="0096629E">
      <w:pPr>
        <w:pStyle w:val="a0"/>
        <w:numPr>
          <w:ilvl w:val="0"/>
          <w:numId w:val="1"/>
        </w:numPr>
        <w:ind w:firstLineChars="0"/>
        <w:rPr>
          <w:shd w:val="clear" w:color="auto" w:fill="FFFFFF"/>
        </w:rPr>
      </w:pPr>
      <w:r w:rsidRPr="0096629E">
        <w:rPr>
          <w:rFonts w:hint="eastAsia"/>
        </w:rPr>
        <w:t>Liquidity</w:t>
      </w:r>
      <w:r w:rsidRPr="0096629E">
        <w:rPr>
          <w:rFonts w:hint="eastAsia"/>
          <w:shd w:val="clear" w:color="auto" w:fill="FFFFFF"/>
        </w:rPr>
        <w:t xml:space="preserve"> Risk</w:t>
      </w:r>
    </w:p>
    <w:p w14:paraId="2CD8BFAF" w14:textId="13C7364A" w:rsidR="008554A7" w:rsidRDefault="008554A7" w:rsidP="0096629E">
      <w:pPr>
        <w:pStyle w:val="a0"/>
        <w:numPr>
          <w:ilvl w:val="0"/>
          <w:numId w:val="9"/>
        </w:numPr>
        <w:ind w:firstLineChars="0"/>
      </w:pPr>
      <w:r w:rsidRPr="0096629E">
        <w:rPr>
          <w:rFonts w:hint="eastAsia"/>
          <w:shd w:val="clear" w:color="auto" w:fill="FFFFFF"/>
        </w:rPr>
        <w:t>Interest</w:t>
      </w:r>
      <w:r>
        <w:rPr>
          <w:rFonts w:hint="eastAsia"/>
        </w:rPr>
        <w:t xml:space="preserve"> Expense Ratio</w:t>
      </w:r>
    </w:p>
    <w:p w14:paraId="123E651C" w14:textId="77777777" w:rsidR="008554A7" w:rsidRDefault="008554A7" w:rsidP="008554A7">
      <w:pPr>
        <w:pStyle w:val="a0"/>
      </w:pPr>
      <w:r>
        <w:rPr>
          <w:rFonts w:hint="eastAsia"/>
        </w:rPr>
        <w:t>The Interest Expense Ratio (I</w:t>
      </w:r>
      <w:r w:rsidRPr="00AD0778">
        <w:rPr>
          <w:rFonts w:hint="eastAsia"/>
        </w:rPr>
        <w:t>NT) reflects</w:t>
      </w:r>
      <w:r>
        <w:rPr>
          <w:rFonts w:hint="eastAsia"/>
        </w:rPr>
        <w:t xml:space="preserve"> the</w:t>
      </w:r>
      <w:r>
        <w:t xml:space="preserve"> pro</w:t>
      </w:r>
      <w:r>
        <w:rPr>
          <w:rFonts w:hint="eastAsia"/>
        </w:rPr>
        <w:t>portion of a company's interest expenses to its revenue. Generally, a lower interest expense ratio indicates that the company is more capable of making interest payments on time. The calculation formula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30"/>
        <w:gridCol w:w="976"/>
      </w:tblGrid>
      <w:tr w:rsidR="008554A7" w:rsidRPr="00DE6038" w14:paraId="1569FCFC" w14:textId="77777777" w:rsidTr="00D932B6">
        <w:tc>
          <w:tcPr>
            <w:tcW w:w="7650" w:type="dxa"/>
          </w:tcPr>
          <w:p w14:paraId="7EB9900D" w14:textId="77777777" w:rsidR="008554A7" w:rsidRDefault="008554A7" w:rsidP="00D932B6">
            <w:pPr>
              <w:pStyle w:val="a0"/>
              <w:ind w:firstLineChars="0" w:firstLine="0"/>
            </w:pPr>
            <m:oMathPara>
              <m:oMath>
                <m:r>
                  <w:rPr>
                    <w:rFonts w:ascii="Cambria Math" w:hAnsi="Cambria Math" w:hint="eastAsia"/>
                  </w:rPr>
                  <m:t>I</m:t>
                </m:r>
                <m:r>
                  <w:rPr>
                    <w:rFonts w:ascii="Cambria Math" w:hAnsi="Cambria Math"/>
                  </w:rPr>
                  <m:t>NT</m:t>
                </m:r>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利息支出</m:t>
                </m:r>
                <m:r>
                  <m:rPr>
                    <m:sty m:val="p"/>
                  </m:rPr>
                  <w:rPr>
                    <w:rFonts w:ascii="Cambria Math" w:hAnsi="Cambria Math"/>
                  </w:rPr>
                  <m:t>+</m:t>
                </m:r>
                <m:r>
                  <m:rPr>
                    <m:sty m:val="p"/>
                  </m:rPr>
                  <w:rPr>
                    <w:rFonts w:ascii="Cambria Math" w:hAnsi="Cambria Math" w:hint="eastAsia"/>
                  </w:rPr>
                  <m:t>資本化之利息支出</m:t>
                </m:r>
                <m:r>
                  <m:rPr>
                    <m:sty m:val="p"/>
                  </m:rPr>
                  <w:rPr>
                    <w:rFonts w:ascii="Cambria Math" w:hAnsi="Cambria Math" w:hint="eastAsia"/>
                  </w:rPr>
                  <m:t>)</m:t>
                </m:r>
                <m:r>
                  <m:rPr>
                    <m:sty m:val="p"/>
                  </m:rPr>
                  <w:rPr>
                    <w:rFonts w:ascii="Cambria Math" w:hAnsi="Cambria Math"/>
                  </w:rPr>
                  <m:t>/</m:t>
                </m:r>
                <m:r>
                  <m:rPr>
                    <m:sty m:val="p"/>
                  </m:rPr>
                  <w:rPr>
                    <w:rFonts w:ascii="Cambria Math" w:hAnsi="Cambria Math" w:hint="eastAsia"/>
                  </w:rPr>
                  <m:t>營業收入</m:t>
                </m:r>
              </m:oMath>
            </m:oMathPara>
          </w:p>
        </w:tc>
        <w:tc>
          <w:tcPr>
            <w:tcW w:w="845" w:type="dxa"/>
          </w:tcPr>
          <w:p w14:paraId="2FD83B5C" w14:textId="77777777" w:rsidR="008554A7" w:rsidRPr="00DE6038" w:rsidRDefault="008554A7" w:rsidP="00D932B6">
            <w:pPr>
              <w:pStyle w:val="a5"/>
              <w:rPr>
                <w:rFonts w:eastAsia="標楷體" w:cs="Times New Roman (本文)"/>
                <w:szCs w:val="22"/>
              </w:rPr>
            </w:pPr>
            <w:r w:rsidRPr="00DE6038">
              <w:rPr>
                <w:rFonts w:eastAsia="標楷體" w:cs="Times New Roman (本文)"/>
                <w:szCs w:val="22"/>
              </w:rPr>
              <w:t>(9)</w:t>
            </w:r>
            <w:r w:rsidR="00DE6038" w:rsidRPr="00DE6038">
              <w:rPr>
                <w:rFonts w:eastAsia="標楷體" w:cs="Times New Roman (本文)"/>
                <w:szCs w:val="22"/>
              </w:rPr>
              <w:fldChar w:fldCharType="begin"/>
            </w:r>
            <w:r w:rsidR="00DE6038" w:rsidRPr="00DE6038">
              <w:rPr>
                <w:rFonts w:eastAsia="標楷體" w:cs="Times New Roman (本文)"/>
                <w:szCs w:val="22"/>
              </w:rPr>
              <w:instrText xml:space="preserve"> SEQ ( \* ARABIC </w:instrText>
            </w:r>
            <w:r w:rsidR="00000000">
              <w:rPr>
                <w:rFonts w:eastAsia="標楷體" w:cs="Times New Roman (本文)"/>
                <w:szCs w:val="22"/>
              </w:rPr>
              <w:fldChar w:fldCharType="separate"/>
            </w:r>
            <w:r w:rsidR="00DE6038" w:rsidRPr="00DE6038">
              <w:rPr>
                <w:rFonts w:eastAsia="標楷體" w:cs="Times New Roman (本文)"/>
                <w:szCs w:val="22"/>
              </w:rPr>
              <w:fldChar w:fldCharType="end"/>
            </w:r>
          </w:p>
        </w:tc>
      </w:tr>
    </w:tbl>
    <w:p w14:paraId="1E1B0ABE" w14:textId="77777777" w:rsidR="008554A7" w:rsidRPr="00DE6038" w:rsidRDefault="008554A7" w:rsidP="0096629E">
      <w:pPr>
        <w:pStyle w:val="a0"/>
        <w:numPr>
          <w:ilvl w:val="0"/>
          <w:numId w:val="1"/>
        </w:numPr>
        <w:ind w:firstLineChars="0"/>
        <w:rPr>
          <w:bCs/>
        </w:rPr>
      </w:pPr>
      <w:r w:rsidRPr="0096629E">
        <w:rPr>
          <w:rFonts w:hint="eastAsia"/>
        </w:rPr>
        <w:t>Operational</w:t>
      </w:r>
      <w:r w:rsidRPr="00DE6038">
        <w:rPr>
          <w:rFonts w:hint="eastAsia"/>
        </w:rPr>
        <w:t xml:space="preserve"> Risk</w:t>
      </w:r>
    </w:p>
    <w:p w14:paraId="0E77E189" w14:textId="739F912E" w:rsidR="008554A7" w:rsidRDefault="008554A7" w:rsidP="0096629E">
      <w:pPr>
        <w:pStyle w:val="a0"/>
        <w:numPr>
          <w:ilvl w:val="0"/>
          <w:numId w:val="10"/>
        </w:numPr>
        <w:ind w:firstLineChars="0"/>
      </w:pPr>
      <w:r>
        <w:rPr>
          <w:rFonts w:hint="eastAsia"/>
        </w:rPr>
        <w:t>Ret</w:t>
      </w:r>
      <w:r w:rsidRPr="009A01F6">
        <w:t>urn on Asse</w:t>
      </w:r>
      <w:r>
        <w:t>t</w:t>
      </w:r>
      <w:r w:rsidRPr="009A01F6">
        <w:t>s</w:t>
      </w:r>
      <w:r>
        <w:rPr>
          <w:rFonts w:hint="eastAsia"/>
        </w:rPr>
        <w:t xml:space="preserve"> (ROA)</w:t>
      </w:r>
    </w:p>
    <w:p w14:paraId="2813F553" w14:textId="77777777" w:rsidR="008554A7" w:rsidRDefault="008554A7" w:rsidP="008554A7">
      <w:pPr>
        <w:pStyle w:val="a0"/>
      </w:pPr>
      <w:r>
        <w:rPr>
          <w:rFonts w:hint="eastAsia"/>
        </w:rPr>
        <w:t>The Return on Assets is adopte</w:t>
      </w:r>
      <w:r w:rsidRPr="004257BB">
        <w:t>d from the ratio t</w:t>
      </w:r>
      <w:r>
        <w:t>hat contributes</w:t>
      </w:r>
      <w:r w:rsidRPr="004257BB">
        <w:rPr>
          <w:rFonts w:hint="eastAsia"/>
        </w:rPr>
        <w:t xml:space="preserve"> to</w:t>
      </w:r>
      <w:r w:rsidRPr="004257BB">
        <w:t xml:space="preserve"> the components of ins</w:t>
      </w:r>
      <w:r>
        <w:t xml:space="preserve">urance </w:t>
      </w:r>
      <w:r>
        <w:rPr>
          <w:rFonts w:hint="eastAsia"/>
        </w:rPr>
        <w:t>com</w:t>
      </w:r>
      <w:r>
        <w:t xml:space="preserve">panies' financial </w:t>
      </w:r>
      <w:r>
        <w:rPr>
          <w:rFonts w:hint="eastAsia"/>
        </w:rPr>
        <w:t>perform</w:t>
      </w:r>
      <w:r w:rsidRPr="004257BB">
        <w:rPr>
          <w:rFonts w:hint="eastAsia"/>
        </w:rPr>
        <w:t xml:space="preserve">ance in the paper by </w:t>
      </w:r>
      <w:proofErr w:type="spellStart"/>
      <w:r w:rsidRPr="004257BB">
        <w:rPr>
          <w:rFonts w:hint="eastAsia"/>
        </w:rPr>
        <w:t>Morara</w:t>
      </w:r>
      <w:proofErr w:type="spellEnd"/>
      <w:r w:rsidRPr="004257BB">
        <w:rPr>
          <w:rFonts w:hint="eastAsia"/>
        </w:rPr>
        <w:t xml:space="preserve"> &amp; Sibindi (2021). It</w:t>
      </w:r>
      <w:r>
        <w:rPr>
          <w:rFonts w:hint="eastAsia"/>
        </w:rPr>
        <w:t xml:space="preserve"> is the overall return rate of the entire company and is usually used to examine whether the company can effectively utilize its assets. Generally</w:t>
      </w:r>
      <w:r>
        <w:t xml:space="preserve">, a higher </w:t>
      </w:r>
      <w:r>
        <w:rPr>
          <w:rFonts w:hint="eastAsia"/>
        </w:rPr>
        <w:t>ROA indicates better utilization of assets for returns. The cal</w:t>
      </w:r>
      <w:r>
        <w:t>culation me</w:t>
      </w:r>
      <w:r>
        <w:rPr>
          <w:rFonts w:hint="eastAsia"/>
        </w:rPr>
        <w:t>thod for ROA is: (Net Prof</w:t>
      </w:r>
      <w:r>
        <w:t xml:space="preserve">it </w:t>
      </w:r>
      <w:r w:rsidRPr="0099244F">
        <w:rPr>
          <w:rFonts w:hint="eastAsia"/>
        </w:rPr>
        <w:t>After Tax / Ave</w:t>
      </w:r>
      <w:r>
        <w:t>rag</w:t>
      </w:r>
      <w:r w:rsidRPr="0099244F">
        <w:rPr>
          <w:rFonts w:hint="eastAsia"/>
        </w:rPr>
        <w:t>e Total</w:t>
      </w:r>
      <w:r>
        <w:rPr>
          <w:rFonts w:hint="eastAsia"/>
        </w:rPr>
        <w:t xml:space="preserve"> Assets) * 100%. H</w:t>
      </w:r>
      <w:r>
        <w:t>owe</w:t>
      </w:r>
      <w:r w:rsidRPr="0099244F">
        <w:rPr>
          <w:rFonts w:hint="eastAsia"/>
        </w:rPr>
        <w:t>ver, some argue</w:t>
      </w:r>
      <w:r>
        <w:rPr>
          <w:rFonts w:hint="eastAsia"/>
        </w:rPr>
        <w:t xml:space="preserve"> that using net profit after tax does not fully reflect a company's profitability because net profit after tax has already deducted interest on debt, which may lead to an underestimate of net profit after tax, thereby leading to</w:t>
      </w:r>
      <w:r>
        <w:t xml:space="preserve"> an underes</w:t>
      </w:r>
      <w:r>
        <w:rPr>
          <w:rFonts w:hint="eastAsia"/>
        </w:rPr>
        <w:t>timate of ROA. Therefore, the calculation formula used in this study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0"/>
        <w:gridCol w:w="1096"/>
      </w:tblGrid>
      <w:tr w:rsidR="008554A7" w14:paraId="47CF14EC" w14:textId="77777777" w:rsidTr="00D932B6">
        <w:tc>
          <w:tcPr>
            <w:tcW w:w="8075" w:type="dxa"/>
          </w:tcPr>
          <w:p w14:paraId="20B73F9B" w14:textId="77777777" w:rsidR="008554A7" w:rsidRDefault="008554A7" w:rsidP="00D932B6">
            <w:pPr>
              <w:pStyle w:val="a0"/>
              <w:ind w:firstLineChars="0" w:firstLine="0"/>
            </w:pPr>
            <m:oMathPara>
              <m:oMath>
                <m:r>
                  <w:rPr>
                    <w:rFonts w:ascii="Cambria Math" w:hAnsi="Cambria Math" w:hint="eastAsia"/>
                  </w:rPr>
                  <w:lastRenderedPageBreak/>
                  <m:t>R</m:t>
                </m:r>
                <m:r>
                  <w:rPr>
                    <w:rFonts w:ascii="Cambria Math" w:hAnsi="Cambria Math"/>
                  </w:rPr>
                  <m:t>OA=</m:t>
                </m:r>
                <m:d>
                  <m:dPr>
                    <m:begChr m:val="["/>
                    <m:endChr m:val="]"/>
                    <m:ctrlPr>
                      <w:rPr>
                        <w:rFonts w:ascii="Cambria Math" w:hAnsi="Cambria Math"/>
                      </w:rPr>
                    </m:ctrlPr>
                  </m:dPr>
                  <m:e>
                    <m:r>
                      <m:rPr>
                        <m:sty m:val="p"/>
                      </m:rPr>
                      <w:rPr>
                        <w:rFonts w:ascii="Cambria Math" w:hAnsi="Cambria Math" w:hint="eastAsia"/>
                      </w:rPr>
                      <m:t>稅後淨利＋財務成本</m:t>
                    </m:r>
                    <m:r>
                      <m:rPr>
                        <m:sty m:val="p"/>
                      </m:rPr>
                      <w:rPr>
                        <w:rFonts w:ascii="Cambria Math" w:hAnsi="Cambria Math"/>
                      </w:rPr>
                      <m:t>×(1-</m:t>
                    </m:r>
                    <m:r>
                      <m:rPr>
                        <m:sty m:val="p"/>
                      </m:rPr>
                      <w:rPr>
                        <w:rFonts w:ascii="Cambria Math" w:hAnsi="Cambria Math" w:hint="eastAsia"/>
                      </w:rPr>
                      <m:t>所得稅率</m:t>
                    </m:r>
                    <m:r>
                      <m:rPr>
                        <m:sty m:val="p"/>
                      </m:rPr>
                      <w:rPr>
                        <w:rFonts w:ascii="Cambria Math" w:hAnsi="Cambria Math"/>
                      </w:rPr>
                      <m:t>)</m:t>
                    </m:r>
                    <m:ctrlPr>
                      <w:rPr>
                        <w:rFonts w:ascii="Cambria Math" w:hAnsi="Cambria Math" w:hint="eastAsia"/>
                      </w:rPr>
                    </m:ctrlPr>
                  </m:e>
                </m:d>
                <m:r>
                  <m:rPr>
                    <m:sty m:val="p"/>
                  </m:rPr>
                  <w:rPr>
                    <w:rFonts w:ascii="Cambria Math" w:hAnsi="Cambria Math"/>
                  </w:rPr>
                  <m:t>÷</m:t>
                </m:r>
                <m:r>
                  <m:rPr>
                    <m:sty m:val="p"/>
                  </m:rPr>
                  <w:rPr>
                    <w:rFonts w:ascii="Cambria Math" w:hAnsi="Cambria Math" w:hint="eastAsia"/>
                  </w:rPr>
                  <m:t>平均資產總額</m:t>
                </m:r>
                <m:r>
                  <m:rPr>
                    <m:sty m:val="p"/>
                  </m:rPr>
                  <w:rPr>
                    <w:rFonts w:ascii="Cambria Math" w:hAnsi="Cambria Math"/>
                  </w:rPr>
                  <m:t>×100%</m:t>
                </m:r>
              </m:oMath>
            </m:oMathPara>
          </w:p>
        </w:tc>
        <w:tc>
          <w:tcPr>
            <w:tcW w:w="420" w:type="dxa"/>
          </w:tcPr>
          <w:p w14:paraId="310FD79B" w14:textId="77777777" w:rsidR="008554A7" w:rsidRDefault="008554A7" w:rsidP="00D932B6">
            <w:pPr>
              <w:pStyle w:val="a5"/>
            </w:pPr>
            <w:r>
              <w:t>(10)</w:t>
            </w:r>
            <w:r w:rsidR="00DE6038">
              <w:fldChar w:fldCharType="begin"/>
            </w:r>
            <w:r w:rsidR="00DE6038">
              <w:instrText xml:space="preserve"> SEQ ( \* ARABIC </w:instrText>
            </w:r>
            <w:r w:rsidR="00000000">
              <w:fldChar w:fldCharType="separate"/>
            </w:r>
            <w:r w:rsidR="00DE6038">
              <w:rPr>
                <w:noProof/>
              </w:rPr>
              <w:fldChar w:fldCharType="end"/>
            </w:r>
          </w:p>
        </w:tc>
      </w:tr>
    </w:tbl>
    <w:p w14:paraId="6E6283BD" w14:textId="045C9407" w:rsidR="008554A7" w:rsidRDefault="008554A7" w:rsidP="0096629E">
      <w:pPr>
        <w:pStyle w:val="a0"/>
        <w:numPr>
          <w:ilvl w:val="0"/>
          <w:numId w:val="10"/>
        </w:numPr>
        <w:ind w:firstLineChars="0"/>
      </w:pPr>
      <w:r>
        <w:rPr>
          <w:rFonts w:hint="eastAsia"/>
        </w:rPr>
        <w:t>Retu</w:t>
      </w:r>
      <w:r w:rsidRPr="00A2342A">
        <w:t xml:space="preserve">rn on Equity </w:t>
      </w:r>
      <w:r>
        <w:rPr>
          <w:rFonts w:hint="eastAsia"/>
        </w:rPr>
        <w:t>(ROE)</w:t>
      </w:r>
    </w:p>
    <w:p w14:paraId="5464D9FA" w14:textId="77777777" w:rsidR="008554A7" w:rsidRDefault="008554A7" w:rsidP="008554A7">
      <w:pPr>
        <w:pStyle w:val="a0"/>
      </w:pPr>
      <w:r>
        <w:rPr>
          <w:rFonts w:hint="eastAsia"/>
        </w:rPr>
        <w:t>The Return on Equity is adopted f</w:t>
      </w:r>
      <w:r w:rsidRPr="004257BB">
        <w:t>rom the paper by</w:t>
      </w:r>
      <w:r>
        <w:t xml:space="preserve"> </w:t>
      </w:r>
      <w:proofErr w:type="spellStart"/>
      <w:r>
        <w:t>Morara</w:t>
      </w:r>
      <w:proofErr w:type="spellEnd"/>
      <w:r>
        <w:t xml:space="preserve"> &amp; Sib</w:t>
      </w:r>
      <w:r w:rsidRPr="004257BB">
        <w:rPr>
          <w:rFonts w:hint="eastAsia"/>
        </w:rPr>
        <w:t>ind</w:t>
      </w:r>
      <w:r w:rsidRPr="004257BB">
        <w:t xml:space="preserve">i (2021) and is an </w:t>
      </w:r>
      <w:r>
        <w:t>indica</w:t>
      </w:r>
      <w:r>
        <w:rPr>
          <w:rFonts w:hint="eastAsia"/>
        </w:rPr>
        <w:t>tor</w:t>
      </w:r>
      <w:r>
        <w:t xml:space="preserve"> for evaluating </w:t>
      </w:r>
      <w:r>
        <w:rPr>
          <w:rFonts w:hint="eastAsia"/>
        </w:rPr>
        <w:t>the return on equity inves</w:t>
      </w:r>
      <w:r w:rsidRPr="003A6C07">
        <w:rPr>
          <w:rFonts w:hint="eastAsia"/>
        </w:rPr>
        <w:t>tment of a company. A higher ROE ind</w:t>
      </w:r>
      <w:r>
        <w:rPr>
          <w:rFonts w:hint="eastAsia"/>
        </w:rPr>
        <w:t>ica</w:t>
      </w:r>
      <w:r>
        <w:t xml:space="preserve">tes that </w:t>
      </w:r>
      <w:r>
        <w:rPr>
          <w:rFonts w:hint="eastAsia"/>
        </w:rPr>
        <w:t>the company can generate greater profits with its net assets. The calculation formula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9"/>
        <w:gridCol w:w="1087"/>
      </w:tblGrid>
      <w:tr w:rsidR="008554A7" w14:paraId="231573D3" w14:textId="77777777" w:rsidTr="00D932B6">
        <w:tc>
          <w:tcPr>
            <w:tcW w:w="7792" w:type="dxa"/>
          </w:tcPr>
          <w:p w14:paraId="3C0B3073" w14:textId="77777777" w:rsidR="008554A7" w:rsidRDefault="008554A7" w:rsidP="00D932B6">
            <w:pPr>
              <w:pStyle w:val="a0"/>
              <w:ind w:firstLineChars="0" w:firstLine="0"/>
            </w:pPr>
            <m:oMathPara>
              <m:oMath>
                <m:r>
                  <w:rPr>
                    <w:rFonts w:ascii="Cambria Math" w:hAnsi="Cambria Math"/>
                  </w:rPr>
                  <m:t>ROE=</m:t>
                </m:r>
                <m:r>
                  <w:rPr>
                    <w:rFonts w:ascii="Cambria Math" w:hAnsi="Cambria Math" w:hint="eastAsia"/>
                  </w:rPr>
                  <m:t>稅後淨利</m:t>
                </m:r>
                <m:r>
                  <w:rPr>
                    <w:rFonts w:ascii="Cambria Math" w:hAnsi="Cambria Math"/>
                  </w:rPr>
                  <m:t>÷</m:t>
                </m:r>
                <m:r>
                  <w:rPr>
                    <w:rFonts w:ascii="Cambria Math" w:hAnsi="Cambria Math" w:hint="eastAsia"/>
                  </w:rPr>
                  <m:t>股東權益總額</m:t>
                </m:r>
              </m:oMath>
            </m:oMathPara>
          </w:p>
        </w:tc>
        <w:tc>
          <w:tcPr>
            <w:tcW w:w="703" w:type="dxa"/>
          </w:tcPr>
          <w:p w14:paraId="144E8372" w14:textId="77777777" w:rsidR="008554A7" w:rsidRDefault="008554A7" w:rsidP="00D932B6">
            <w:pPr>
              <w:pStyle w:val="a5"/>
            </w:pPr>
            <w:r>
              <w:t>(11)</w:t>
            </w:r>
            <w:r w:rsidR="00DE6038">
              <w:fldChar w:fldCharType="begin"/>
            </w:r>
            <w:r w:rsidR="00DE6038">
              <w:instrText xml:space="preserve"> SEQ ( \* ARABIC </w:instrText>
            </w:r>
            <w:r w:rsidR="00000000">
              <w:fldChar w:fldCharType="separate"/>
            </w:r>
            <w:r w:rsidR="00DE6038">
              <w:rPr>
                <w:noProof/>
              </w:rPr>
              <w:fldChar w:fldCharType="end"/>
            </w:r>
          </w:p>
        </w:tc>
      </w:tr>
    </w:tbl>
    <w:p w14:paraId="09091D1A" w14:textId="77777777" w:rsidR="008554A7" w:rsidRDefault="008554A7" w:rsidP="0096629E">
      <w:pPr>
        <w:pStyle w:val="a0"/>
        <w:numPr>
          <w:ilvl w:val="0"/>
          <w:numId w:val="10"/>
        </w:numPr>
        <w:ind w:firstLineChars="0"/>
      </w:pPr>
      <w:r>
        <w:rPr>
          <w:rFonts w:hint="eastAsia"/>
        </w:rPr>
        <w:t>Rev</w:t>
      </w:r>
      <w:r>
        <w:t>enue Growth Rate</w:t>
      </w:r>
    </w:p>
    <w:p w14:paraId="3DAE31CE" w14:textId="77777777" w:rsidR="008554A7" w:rsidRDefault="008554A7" w:rsidP="008554A7">
      <w:pPr>
        <w:pStyle w:val="a0"/>
      </w:pPr>
      <w:r>
        <w:rPr>
          <w:rFonts w:hint="eastAsia"/>
        </w:rPr>
        <w:t>The Revenue Growth Rate divides time periods into annual, quarterly, or monthly, reflecting the company's revenue situation in different periods. This study uses th</w:t>
      </w:r>
      <w:r>
        <w:t>e Y</w:t>
      </w:r>
      <w:r w:rsidRPr="00F35AE7">
        <w:t>ear-Over-Year (YoY) revenue growth rate to measu</w:t>
      </w:r>
      <w:r>
        <w:rPr>
          <w:rFonts w:hint="eastAsia"/>
        </w:rPr>
        <w:t xml:space="preserve">re </w:t>
      </w:r>
      <w:r>
        <w:t>the</w:t>
      </w:r>
      <w:r w:rsidRPr="00F35AE7">
        <w:rPr>
          <w:rFonts w:hint="eastAsia"/>
        </w:rPr>
        <w:t xml:space="preserve"> growth ra</w:t>
      </w:r>
      <w:r>
        <w:t xml:space="preserve">te of </w:t>
      </w:r>
      <w:r>
        <w:rPr>
          <w:rFonts w:hint="eastAsia"/>
        </w:rPr>
        <w:t>a company's revenue in a specific period of the current year compared to the same period last year. The calculation formula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0"/>
        <w:gridCol w:w="1096"/>
      </w:tblGrid>
      <w:tr w:rsidR="008554A7" w14:paraId="55CAB032" w14:textId="77777777" w:rsidTr="00D932B6">
        <w:tc>
          <w:tcPr>
            <w:tcW w:w="8075" w:type="dxa"/>
          </w:tcPr>
          <w:p w14:paraId="5EB990FD" w14:textId="64716231" w:rsidR="008554A7" w:rsidRDefault="008554A7" w:rsidP="00D932B6">
            <w:pPr>
              <w:pStyle w:val="a0"/>
              <w:ind w:firstLineChars="0" w:firstLine="0"/>
            </w:pPr>
            <m:oMathPara>
              <m:oMath>
                <m:r>
                  <m:rPr>
                    <m:sty m:val="p"/>
                  </m:rPr>
                  <w:rPr>
                    <w:rFonts w:ascii="Cambria Math" w:hAnsi="Cambria Math"/>
                  </w:rPr>
                  <m:t>YOY=</m:t>
                </m:r>
                <m:r>
                  <m:rPr>
                    <m:sty m:val="p"/>
                  </m:rPr>
                  <w:rPr>
                    <w:rFonts w:ascii="Cambria Math" w:hAnsi="Cambria Math" w:hint="eastAsia"/>
                  </w:rPr>
                  <m:t>[</m:t>
                </m:r>
                <m:r>
                  <m:rPr>
                    <m:sty m:val="p"/>
                  </m:rPr>
                  <w:rPr>
                    <w:rFonts w:ascii="Cambria Math" w:hAnsi="Cambria Math"/>
                  </w:rPr>
                  <m:t>this year revenue÷last year revenue</m:t>
                </m:r>
                <m:r>
                  <m:rPr>
                    <m:sty m:val="p"/>
                  </m:rPr>
                  <w:rPr>
                    <w:rFonts w:ascii="Cambria Math" w:hAnsi="Cambria Math" w:cs="Cambria Math"/>
                  </w:rPr>
                  <m:t>-</m:t>
                </m:r>
                <m:r>
                  <m:rPr>
                    <m:sty m:val="p"/>
                  </m:rPr>
                  <w:rPr>
                    <w:rFonts w:ascii="Cambria Math" w:hAnsi="Cambria Math" w:hint="eastAsia"/>
                  </w:rPr>
                  <m:t>1</m:t>
                </m:r>
                <m:r>
                  <m:rPr>
                    <m:sty m:val="p"/>
                  </m:rPr>
                  <w:rPr>
                    <w:rFonts w:ascii="Cambria Math" w:hAnsi="Cambria Math"/>
                  </w:rPr>
                  <m:t>]×100%</m:t>
                </m:r>
              </m:oMath>
            </m:oMathPara>
          </w:p>
        </w:tc>
        <w:tc>
          <w:tcPr>
            <w:tcW w:w="420" w:type="dxa"/>
          </w:tcPr>
          <w:p w14:paraId="0FFC1BFF" w14:textId="77777777" w:rsidR="008554A7" w:rsidRDefault="008554A7" w:rsidP="00D932B6">
            <w:pPr>
              <w:pStyle w:val="a5"/>
            </w:pPr>
            <w:r>
              <w:t>(12)</w:t>
            </w:r>
            <w:r w:rsidR="00DE6038">
              <w:fldChar w:fldCharType="begin"/>
            </w:r>
            <w:r w:rsidR="00DE6038">
              <w:instrText xml:space="preserve"> SEQ ( \* ARABIC </w:instrText>
            </w:r>
            <w:r w:rsidR="00000000">
              <w:fldChar w:fldCharType="separate"/>
            </w:r>
            <w:r w:rsidR="00DE6038">
              <w:rPr>
                <w:noProof/>
              </w:rPr>
              <w:fldChar w:fldCharType="end"/>
            </w:r>
          </w:p>
        </w:tc>
      </w:tr>
    </w:tbl>
    <w:p w14:paraId="5BD64E98" w14:textId="77777777" w:rsidR="008554A7" w:rsidRPr="0096629E" w:rsidRDefault="008554A7" w:rsidP="0096629E">
      <w:pPr>
        <w:pStyle w:val="a0"/>
        <w:numPr>
          <w:ilvl w:val="0"/>
          <w:numId w:val="1"/>
        </w:numPr>
        <w:ind w:firstLineChars="0"/>
      </w:pPr>
      <w:r w:rsidRPr="00DE6038">
        <w:rPr>
          <w:rFonts w:hint="eastAsia"/>
        </w:rPr>
        <w:t>Other Risks</w:t>
      </w:r>
    </w:p>
    <w:p w14:paraId="479214A8" w14:textId="5FF9E0A0" w:rsidR="008554A7" w:rsidRDefault="0096629E" w:rsidP="0096629E">
      <w:pPr>
        <w:pStyle w:val="a0"/>
        <w:ind w:left="960" w:firstLineChars="0" w:firstLine="0"/>
      </w:pPr>
      <w:r>
        <w:t xml:space="preserve">(1) </w:t>
      </w:r>
      <w:r w:rsidR="008554A7">
        <w:rPr>
          <w:rFonts w:hint="eastAsia"/>
        </w:rPr>
        <w:t>De</w:t>
      </w:r>
      <w:r w:rsidR="008554A7">
        <w:t>bt Ra</w:t>
      </w:r>
      <w:r w:rsidR="008554A7">
        <w:rPr>
          <w:rFonts w:hint="eastAsia"/>
        </w:rPr>
        <w:t>tio</w:t>
      </w:r>
    </w:p>
    <w:p w14:paraId="4A2F3909" w14:textId="77777777" w:rsidR="008554A7" w:rsidRDefault="008554A7" w:rsidP="008554A7">
      <w:pPr>
        <w:pStyle w:val="a0"/>
      </w:pPr>
      <w:r>
        <w:rPr>
          <w:rFonts w:hint="eastAsia"/>
        </w:rPr>
        <w:t>The Debt Ratio is referenced</w:t>
      </w:r>
      <w:r w:rsidRPr="004257BB">
        <w:t xml:space="preserve"> from the paper b</w:t>
      </w:r>
      <w:r>
        <w:t xml:space="preserve">y </w:t>
      </w:r>
      <w:proofErr w:type="spellStart"/>
      <w:r>
        <w:t>Morara</w:t>
      </w:r>
      <w:proofErr w:type="spellEnd"/>
      <w:r>
        <w:t xml:space="preserve"> &amp; Sib</w:t>
      </w:r>
      <w:r w:rsidRPr="004257BB">
        <w:rPr>
          <w:rFonts w:hint="eastAsia"/>
        </w:rPr>
        <w:t>ind</w:t>
      </w:r>
      <w:r w:rsidRPr="004257BB">
        <w:t>i (2021). It is the p</w:t>
      </w:r>
      <w:r>
        <w:t>roporti</w:t>
      </w:r>
      <w:r>
        <w:rPr>
          <w:rFonts w:hint="eastAsia"/>
        </w:rPr>
        <w:t xml:space="preserve">on </w:t>
      </w:r>
      <w:r>
        <w:t>of liabilities in</w:t>
      </w:r>
      <w:r>
        <w:rPr>
          <w:rFonts w:hint="eastAsia"/>
        </w:rPr>
        <w:t xml:space="preserve"> a company's total assets, in other words, the company's debt situation. Generally, the debt ratio is positively correlated with the company's long-term debt-paying ability. Therefore, it is used as a ratio to a</w:t>
      </w:r>
      <w:r w:rsidRPr="00420FBB">
        <w:rPr>
          <w:rFonts w:hint="eastAsia"/>
        </w:rPr>
        <w:t>ssess the company's long-ter</w:t>
      </w:r>
      <w:r>
        <w:rPr>
          <w:rFonts w:hint="eastAsia"/>
        </w:rPr>
        <w:t>m debt-paying ability</w:t>
      </w:r>
      <w:r w:rsidRPr="00420FBB">
        <w:rPr>
          <w:rFonts w:hint="eastAsia"/>
        </w:rPr>
        <w:t xml:space="preserve"> in financial ratio analysis. T</w:t>
      </w:r>
      <w:r>
        <w:rPr>
          <w:rFonts w:hint="eastAsia"/>
        </w:rPr>
        <w:t>he formula for the debt ratio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0"/>
        <w:gridCol w:w="1096"/>
      </w:tblGrid>
      <w:tr w:rsidR="008554A7" w14:paraId="547259B2" w14:textId="77777777" w:rsidTr="00D932B6">
        <w:tc>
          <w:tcPr>
            <w:tcW w:w="7792" w:type="dxa"/>
          </w:tcPr>
          <w:p w14:paraId="10ABFD77" w14:textId="43AEEB7E" w:rsidR="008554A7" w:rsidRDefault="0096629E" w:rsidP="00D932B6">
            <w:pPr>
              <w:pStyle w:val="a0"/>
              <w:ind w:firstLineChars="0" w:firstLine="0"/>
            </w:pPr>
            <m:oMathPara>
              <m:oMath>
                <m:r>
                  <w:rPr>
                    <w:rFonts w:ascii="Cambria Math" w:hAnsi="Cambria Math"/>
                  </w:rPr>
                  <m:t>Debt ratio=</m:t>
                </m:r>
                <m:d>
                  <m:dPr>
                    <m:ctrlPr>
                      <w:rPr>
                        <w:rFonts w:ascii="Cambria Math" w:hAnsi="Cambria Math"/>
                        <w:i/>
                      </w:rPr>
                    </m:ctrlPr>
                  </m:dPr>
                  <m:e>
                    <m:r>
                      <w:rPr>
                        <w:rFonts w:ascii="Cambria Math" w:hAnsi="Cambria Math"/>
                      </w:rPr>
                      <m:t>total debt ÷total asset</m:t>
                    </m:r>
                  </m:e>
                </m:d>
                <m:r>
                  <w:rPr>
                    <w:rFonts w:ascii="Cambria Math" w:hAnsi="Cambria Math"/>
                  </w:rPr>
                  <m:t>×100%</m:t>
                </m:r>
              </m:oMath>
            </m:oMathPara>
          </w:p>
        </w:tc>
        <w:tc>
          <w:tcPr>
            <w:tcW w:w="703" w:type="dxa"/>
          </w:tcPr>
          <w:p w14:paraId="312786FD" w14:textId="77777777" w:rsidR="008554A7" w:rsidRDefault="008554A7" w:rsidP="00D932B6">
            <w:pPr>
              <w:pStyle w:val="a5"/>
            </w:pPr>
            <w:r>
              <w:t>(13)</w:t>
            </w:r>
            <w:r w:rsidR="00DE6038">
              <w:fldChar w:fldCharType="begin"/>
            </w:r>
            <w:r w:rsidR="00DE6038">
              <w:instrText xml:space="preserve"> SEQ ( \* ARABIC </w:instrText>
            </w:r>
            <w:r w:rsidR="00000000">
              <w:fldChar w:fldCharType="separate"/>
            </w:r>
            <w:r w:rsidR="00DE6038">
              <w:rPr>
                <w:noProof/>
              </w:rPr>
              <w:fldChar w:fldCharType="end"/>
            </w:r>
          </w:p>
        </w:tc>
      </w:tr>
    </w:tbl>
    <w:p w14:paraId="41E7EDF0" w14:textId="0C4DF0D7" w:rsidR="008554A7" w:rsidRDefault="008554A7" w:rsidP="0096629E">
      <w:pPr>
        <w:pStyle w:val="a0"/>
        <w:numPr>
          <w:ilvl w:val="0"/>
          <w:numId w:val="9"/>
        </w:numPr>
        <w:ind w:firstLineChars="0"/>
      </w:pPr>
      <w:r>
        <w:rPr>
          <w:rFonts w:hint="eastAsia"/>
        </w:rPr>
        <w:t>Compan</w:t>
      </w:r>
      <w:r>
        <w:t>y Si</w:t>
      </w:r>
      <w:r>
        <w:rPr>
          <w:rFonts w:hint="eastAsia"/>
        </w:rPr>
        <w:t>ze</w:t>
      </w:r>
    </w:p>
    <w:p w14:paraId="799FD5B8" w14:textId="77777777" w:rsidR="008554A7" w:rsidRDefault="008554A7" w:rsidP="008554A7">
      <w:pPr>
        <w:pStyle w:val="a0"/>
      </w:pPr>
      <w:r>
        <w:rPr>
          <w:rFonts w:hint="eastAsia"/>
        </w:rPr>
        <w:t xml:space="preserve">The larger the company size, the greater its position and influence within the entire </w:t>
      </w:r>
      <w:r>
        <w:rPr>
          <w:rFonts w:hint="eastAsia"/>
        </w:rPr>
        <w:lastRenderedPageBreak/>
        <w:t>industry. Therefore, this study uses the m</w:t>
      </w:r>
      <w:r w:rsidRPr="00042D9C">
        <w:rPr>
          <w:rFonts w:hint="eastAsia"/>
        </w:rPr>
        <w:t>easurement method pr</w:t>
      </w:r>
      <w:r>
        <w:t>opo</w:t>
      </w:r>
      <w:r>
        <w:rPr>
          <w:rFonts w:hint="eastAsia"/>
        </w:rPr>
        <w:t>sed</w:t>
      </w:r>
      <w:r>
        <w:t xml:space="preserve"> by</w:t>
      </w:r>
      <w:r w:rsidRPr="00042D9C">
        <w:rPr>
          <w:rFonts w:hint="eastAsia"/>
        </w:rPr>
        <w:t xml:space="preserve"> Bettis (1</w:t>
      </w:r>
      <w:r>
        <w:rPr>
          <w:rFonts w:hint="eastAsia"/>
        </w:rPr>
        <w:t>981</w:t>
      </w:r>
      <w:r>
        <w:t>) t</w:t>
      </w:r>
      <w:r>
        <w:rPr>
          <w:rFonts w:hint="eastAsia"/>
        </w:rPr>
        <w:t>o measure enterprise size. The formula is as follows: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10"/>
        <w:gridCol w:w="1096"/>
      </w:tblGrid>
      <w:tr w:rsidR="008554A7" w14:paraId="5F213EA8" w14:textId="77777777" w:rsidTr="00D932B6">
        <w:tc>
          <w:tcPr>
            <w:tcW w:w="7933" w:type="dxa"/>
          </w:tcPr>
          <w:p w14:paraId="03D6E344" w14:textId="089EC8B9" w:rsidR="008554A7" w:rsidRDefault="008554A7" w:rsidP="00D932B6">
            <w:pPr>
              <w:pStyle w:val="a0"/>
              <w:ind w:firstLineChars="0" w:firstLine="0"/>
            </w:pPr>
            <m:oMathPara>
              <m:oMath>
                <m:r>
                  <w:rPr>
                    <w:rFonts w:ascii="Cambria Math" w:hAnsi="Cambria Math"/>
                  </w:rPr>
                  <m:t>Size=</m:t>
                </m:r>
                <m:r>
                  <m:rPr>
                    <m:sty m:val="p"/>
                  </m:rPr>
                  <w:rPr>
                    <w:rFonts w:ascii="Cambria Math" w:hAnsi="Cambria Math"/>
                  </w:rPr>
                  <m:t>log⁡</m:t>
                </m:r>
                <m:r>
                  <w:rPr>
                    <w:rFonts w:ascii="Cambria Math" w:hAnsi="Cambria Math"/>
                  </w:rPr>
                  <m:t>(total asset)</m:t>
                </m:r>
              </m:oMath>
            </m:oMathPara>
          </w:p>
        </w:tc>
        <w:tc>
          <w:tcPr>
            <w:tcW w:w="562" w:type="dxa"/>
          </w:tcPr>
          <w:p w14:paraId="65D95F13" w14:textId="77777777" w:rsidR="008554A7" w:rsidRDefault="008554A7" w:rsidP="00D932B6">
            <w:pPr>
              <w:pStyle w:val="a5"/>
            </w:pPr>
            <w:r>
              <w:t>(14)</w:t>
            </w:r>
            <w:r w:rsidR="00DE6038">
              <w:fldChar w:fldCharType="begin"/>
            </w:r>
            <w:r w:rsidR="00DE6038">
              <w:instrText xml:space="preserve"> SEQ ( \* ARABIC </w:instrText>
            </w:r>
            <w:r w:rsidR="00000000">
              <w:fldChar w:fldCharType="separate"/>
            </w:r>
            <w:r w:rsidR="00DE6038">
              <w:rPr>
                <w:noProof/>
              </w:rPr>
              <w:fldChar w:fldCharType="end"/>
            </w:r>
          </w:p>
        </w:tc>
      </w:tr>
    </w:tbl>
    <w:p w14:paraId="196D9C4F" w14:textId="77777777" w:rsidR="00817DCB" w:rsidRDefault="00DE6038" w:rsidP="00DE6038">
      <w:pPr>
        <w:ind w:firstLineChars="0" w:firstLine="0"/>
      </w:pPr>
      <w:r>
        <w:rPr>
          <w:rFonts w:hint="eastAsia"/>
        </w:rPr>
        <w:t xml:space="preserve">Value at </w:t>
      </w:r>
      <w:r w:rsidR="008554A7">
        <w:rPr>
          <w:rFonts w:hint="eastAsia"/>
        </w:rPr>
        <w:t>Risk (3-5)</w:t>
      </w:r>
    </w:p>
    <w:p w14:paraId="1D123E0B" w14:textId="77777777" w:rsidR="008554A7" w:rsidRDefault="008554A7" w:rsidP="008554A7">
      <w:pPr>
        <w:pStyle w:val="a0"/>
      </w:pPr>
      <w:r>
        <w:rPr>
          <w:rFonts w:hint="eastAsia"/>
        </w:rPr>
        <w:t xml:space="preserve">This study uses the standard normal distribution method to estimate Value at Risk (Gaussian </w:t>
      </w:r>
      <w:proofErr w:type="spellStart"/>
      <w:r>
        <w:rPr>
          <w:rFonts w:hint="eastAsia"/>
        </w:rPr>
        <w:t>VaR</w:t>
      </w:r>
      <w:proofErr w:type="spellEnd"/>
      <w:r>
        <w:rPr>
          <w:rFonts w:hint="eastAsia"/>
        </w:rPr>
        <w:t>). Thi</w:t>
      </w:r>
      <w:bookmarkStart w:id="14" w:name="OLE_LINK2"/>
      <w:r>
        <w:rPr>
          <w:rFonts w:hint="eastAsia"/>
        </w:rPr>
        <w:t>s risk measurement method is used to quantify the potential l</w:t>
      </w:r>
      <w:bookmarkEnd w:id="14"/>
      <w:r>
        <w:rPr>
          <w:rFonts w:hint="eastAsia"/>
        </w:rPr>
        <w:t>oss risk of a company's investment, but it can only be estimated more accurately if the stock price return on investment follows a normal distribution; otherwise, this method may underestimate extreme risks (fat-tail risks). To improve this drawback, this paper also uses Modified Value at Risk (</w:t>
      </w:r>
      <w:proofErr w:type="spellStart"/>
      <w:r>
        <w:rPr>
          <w:rFonts w:hint="eastAsia"/>
        </w:rPr>
        <w:t>MVaR</w:t>
      </w:r>
      <w:proofErr w:type="spellEnd"/>
      <w:r>
        <w:rPr>
          <w:rFonts w:hint="eastAsia"/>
        </w:rPr>
        <w:t xml:space="preserve">), which is modified or extended to correct for skewness and fat tails in the distribution of portfolio returns. In other words, </w:t>
      </w:r>
      <w:proofErr w:type="spellStart"/>
      <w:r>
        <w:rPr>
          <w:rFonts w:hint="eastAsia"/>
        </w:rPr>
        <w:t>MVaR</w:t>
      </w:r>
      <w:proofErr w:type="spellEnd"/>
      <w:r>
        <w:rPr>
          <w:rFonts w:hint="eastAsia"/>
        </w:rPr>
        <w:t xml:space="preserve"> adjusts the normal measurement of value at risk to account for the non-normal distribution of returns for specific asset classes.</w:t>
      </w:r>
    </w:p>
    <w:p w14:paraId="5FE30070" w14:textId="77777777" w:rsidR="008554A7" w:rsidRDefault="008554A7">
      <w:pPr>
        <w:ind w:firstLine="480"/>
      </w:pPr>
      <w:r>
        <w:rPr>
          <w:rFonts w:hint="eastAsia"/>
        </w:rPr>
        <w:t xml:space="preserve">To this end, </w:t>
      </w:r>
      <w:proofErr w:type="spellStart"/>
      <w:r>
        <w:rPr>
          <w:rFonts w:hint="eastAsia"/>
        </w:rPr>
        <w:t>MVaR</w:t>
      </w:r>
      <w:proofErr w:type="spellEnd"/>
      <w:r>
        <w:rPr>
          <w:rFonts w:hint="eastAsia"/>
        </w:rPr>
        <w:t xml:space="preserve"> accounts for higher moments of the return distribution by extending the quantiles of the standard normal distribution (using the Cornish-Fisher expansion). Portfolios can be optimized by minimizing </w:t>
      </w:r>
      <w:proofErr w:type="spellStart"/>
      <w:r>
        <w:rPr>
          <w:rFonts w:hint="eastAsia"/>
        </w:rPr>
        <w:t>MVaR</w:t>
      </w:r>
      <w:proofErr w:type="spellEnd"/>
      <w:r>
        <w:rPr>
          <w:rFonts w:hint="eastAsia"/>
        </w:rPr>
        <w:t xml:space="preserve"> at a given confidence level. Unlike Gaussian </w:t>
      </w:r>
      <w:proofErr w:type="spellStart"/>
      <w:r>
        <w:rPr>
          <w:rFonts w:hint="eastAsia"/>
        </w:rPr>
        <w:t>VaR</w:t>
      </w:r>
      <w:proofErr w:type="spellEnd"/>
      <w:r>
        <w:rPr>
          <w:rFonts w:hint="eastAsia"/>
        </w:rPr>
        <w:t xml:space="preserve">, </w:t>
      </w:r>
      <w:proofErr w:type="spellStart"/>
      <w:r>
        <w:rPr>
          <w:rFonts w:hint="eastAsia"/>
        </w:rPr>
        <w:t>MVaR</w:t>
      </w:r>
      <w:proofErr w:type="spellEnd"/>
      <w:r>
        <w:rPr>
          <w:rFonts w:hint="eastAsia"/>
        </w:rPr>
        <w:t xml:space="preserve"> will be larger for financial assets with negative skewness or positive kurtosis. Furthermore, </w:t>
      </w:r>
      <w:proofErr w:type="spellStart"/>
      <w:r>
        <w:rPr>
          <w:rFonts w:hint="eastAsia"/>
        </w:rPr>
        <w:t>VaR</w:t>
      </w:r>
      <w:proofErr w:type="spellEnd"/>
      <w:r>
        <w:rPr>
          <w:rFonts w:hint="eastAsia"/>
        </w:rPr>
        <w:t xml:space="preserve"> using only volatility will be lower than </w:t>
      </w:r>
      <w:proofErr w:type="spellStart"/>
      <w:r>
        <w:rPr>
          <w:rFonts w:hint="eastAsia"/>
        </w:rPr>
        <w:t>VaR</w:t>
      </w:r>
      <w:proofErr w:type="spellEnd"/>
      <w:r>
        <w:rPr>
          <w:rFonts w:hint="eastAsia"/>
        </w:rPr>
        <w:t xml:space="preserve"> using skewness, volatility, and kurtosis.</w:t>
      </w:r>
    </w:p>
    <w:p w14:paraId="2294BDBA" w14:textId="5E6DC9CE" w:rsidR="008554A7" w:rsidRDefault="001443CB" w:rsidP="0096629E">
      <w:pPr>
        <w:pStyle w:val="Title"/>
        <w:ind w:firstLineChars="0" w:firstLine="0"/>
        <w:jc w:val="both"/>
      </w:pPr>
      <w:bookmarkStart w:id="15" w:name="_Toc113394896"/>
      <w:r>
        <w:rPr>
          <w:rFonts w:hint="eastAsia"/>
        </w:rPr>
        <w:t>Section</w:t>
      </w:r>
      <w:r w:rsidR="000E451A">
        <w:rPr>
          <w:rFonts w:hint="eastAsia"/>
        </w:rPr>
        <w:t xml:space="preserve"> 4</w:t>
      </w:r>
      <w:r w:rsidR="00F27561">
        <w:t>.</w:t>
      </w:r>
      <w:r w:rsidR="000E451A">
        <w:rPr>
          <w:rFonts w:hint="eastAsia"/>
        </w:rPr>
        <w:t xml:space="preserve"> Emp</w:t>
      </w:r>
      <w:r w:rsidR="008554A7">
        <w:rPr>
          <w:rFonts w:hint="eastAsia"/>
        </w:rPr>
        <w:t>irical Analysis</w:t>
      </w:r>
      <w:bookmarkEnd w:id="15"/>
    </w:p>
    <w:p w14:paraId="3F3F57C5" w14:textId="20242532" w:rsidR="008554A7" w:rsidRDefault="00DE6038" w:rsidP="00DE6038">
      <w:pPr>
        <w:ind w:firstLineChars="0" w:firstLine="0"/>
      </w:pPr>
      <w:bookmarkStart w:id="16" w:name="_Toc113394897"/>
      <w:r>
        <w:rPr>
          <w:rFonts w:hint="eastAsia"/>
        </w:rPr>
        <w:t>4</w:t>
      </w:r>
      <w:r w:rsidR="00F27561">
        <w:t>.</w:t>
      </w:r>
      <w:r>
        <w:rPr>
          <w:rFonts w:hint="eastAsia"/>
        </w:rPr>
        <w:t>1 Descriptive S</w:t>
      </w:r>
      <w:r w:rsidRPr="0028462E">
        <w:rPr>
          <w:rFonts w:hint="eastAsia"/>
        </w:rPr>
        <w:t>tatistical Analysis</w:t>
      </w:r>
      <w:bookmarkEnd w:id="16"/>
    </w:p>
    <w:p w14:paraId="7C16FA2D" w14:textId="03444E8F" w:rsidR="008554A7" w:rsidRDefault="00DE6038" w:rsidP="00DE6038">
      <w:pPr>
        <w:ind w:firstLineChars="0" w:firstLine="0"/>
      </w:pPr>
      <w:bookmarkStart w:id="17" w:name="_Toc113394898"/>
      <w:r>
        <w:rPr>
          <w:rFonts w:hint="eastAsia"/>
        </w:rPr>
        <w:t>4</w:t>
      </w:r>
      <w:r w:rsidR="00F27561">
        <w:t>.</w:t>
      </w:r>
      <w:r>
        <w:rPr>
          <w:rFonts w:hint="eastAsia"/>
        </w:rPr>
        <w:t>1</w:t>
      </w:r>
      <w:r w:rsidR="00F27561">
        <w:t>.</w:t>
      </w:r>
      <w:r>
        <w:rPr>
          <w:rFonts w:hint="eastAsia"/>
        </w:rPr>
        <w:t xml:space="preserve">1 Stock </w:t>
      </w:r>
      <w:r w:rsidR="00474EF8">
        <w:rPr>
          <w:rFonts w:hint="eastAsia"/>
        </w:rPr>
        <w:t>Price Risk</w:t>
      </w:r>
      <w:bookmarkEnd w:id="17"/>
    </w:p>
    <w:p w14:paraId="188899D8" w14:textId="35259479" w:rsidR="00474EF8" w:rsidRDefault="00474EF8" w:rsidP="00474EF8">
      <w:pPr>
        <w:pStyle w:val="a0"/>
      </w:pPr>
      <w:r>
        <w:rPr>
          <w:rFonts w:hint="eastAsia"/>
        </w:rPr>
        <w:t>This study uses box plots to examine the distribution of independent variables for each financial holding company across different life insurance solvency ratio grades. A high</w:t>
      </w:r>
      <w:r>
        <w:t>er stock investment</w:t>
      </w:r>
      <w:r>
        <w:rPr>
          <w:rFonts w:hint="eastAsia"/>
        </w:rPr>
        <w:t xml:space="preserve"> return (</w:t>
      </w:r>
      <w:proofErr w:type="spellStart"/>
      <w:r>
        <w:rPr>
          <w:rFonts w:hint="eastAsia"/>
        </w:rPr>
        <w:t>Stk</w:t>
      </w:r>
      <w:proofErr w:type="spellEnd"/>
      <w:r>
        <w:rPr>
          <w:rFonts w:hint="eastAsia"/>
        </w:rPr>
        <w:t xml:space="preserve">) indicates greater investment returns with less capital input. </w:t>
      </w:r>
      <w:r w:rsidR="00612B00">
        <w:rPr>
          <w:rFonts w:hint="eastAsia"/>
        </w:rPr>
        <w:t xml:space="preserve">Figure </w:t>
      </w:r>
      <w:r>
        <w:rPr>
          <w:rFonts w:hint="eastAsia"/>
        </w:rPr>
        <w:t>1 sh</w:t>
      </w:r>
      <w:r>
        <w:t>ows the d</w:t>
      </w:r>
      <w:r>
        <w:rPr>
          <w:rFonts w:hint="eastAsia"/>
        </w:rPr>
        <w:t>istribution of stock investment returns for nine financial holding companies across different life insurance solvenc</w:t>
      </w:r>
      <w:r>
        <w:rPr>
          <w:rFonts w:ascii="Apple Color Emoji" w:hAnsi="Apple Color Emoji" w:cs="Apple Color Emoji" w:hint="eastAsia"/>
        </w:rPr>
        <w:t>y rati</w:t>
      </w:r>
      <w:r>
        <w:rPr>
          <w:rFonts w:hint="eastAsia"/>
        </w:rPr>
        <w:t>o grades. The graph indicates that only CTBC Financial and Yuanta Financial reached solvency</w:t>
      </w:r>
      <w:r w:rsidRPr="00557881">
        <w:rPr>
          <w:rFonts w:hint="eastAsia"/>
        </w:rPr>
        <w:t xml:space="preserve"> ratio grade A as defin</w:t>
      </w:r>
      <w:r>
        <w:t xml:space="preserve">ed </w:t>
      </w:r>
      <w:r>
        <w:rPr>
          <w:rFonts w:hint="eastAsia"/>
        </w:rPr>
        <w:t xml:space="preserve">in this study. Although CTBC </w:t>
      </w:r>
      <w:proofErr w:type="spellStart"/>
      <w:r>
        <w:rPr>
          <w:rFonts w:hint="eastAsia"/>
        </w:rPr>
        <w:t>Financial's</w:t>
      </w:r>
      <w:proofErr w:type="spellEnd"/>
      <w:r>
        <w:rPr>
          <w:rFonts w:hint="eastAsia"/>
        </w:rPr>
        <w:t xml:space="preserve"> box plot falls entirely within the life i</w:t>
      </w:r>
      <w:r>
        <w:t>nsu</w:t>
      </w:r>
      <w:r>
        <w:rPr>
          <w:rFonts w:hint="eastAsia"/>
        </w:rPr>
        <w:t xml:space="preserve">rance solvency ratio grade A range, based on the position of the box </w:t>
      </w:r>
      <w:r>
        <w:rPr>
          <w:rFonts w:hint="eastAsia"/>
        </w:rPr>
        <w:lastRenderedPageBreak/>
        <w:t xml:space="preserve">plot, CTBC </w:t>
      </w:r>
      <w:proofErr w:type="spellStart"/>
      <w:r>
        <w:rPr>
          <w:rFonts w:hint="eastAsia"/>
        </w:rPr>
        <w:t>Financial's</w:t>
      </w:r>
      <w:proofErr w:type="spellEnd"/>
      <w:r>
        <w:rPr>
          <w:rFonts w:hint="eastAsia"/>
        </w:rPr>
        <w:t xml:space="preserve"> stock investment return is not the highest among the companies. While Cathay </w:t>
      </w:r>
      <w:proofErr w:type="spellStart"/>
      <w:r>
        <w:rPr>
          <w:rFonts w:hint="eastAsia"/>
        </w:rPr>
        <w:t>Financial's</w:t>
      </w:r>
      <w:proofErr w:type="spellEnd"/>
      <w:r>
        <w:rPr>
          <w:rFonts w:hint="eastAsia"/>
        </w:rPr>
        <w:t xml:space="preserve"> stock investment return is at the highest position, its box plot for life insurance </w:t>
      </w:r>
      <w:r>
        <w:t>sol</w:t>
      </w:r>
      <w:r>
        <w:rPr>
          <w:rFonts w:hint="eastAsia"/>
        </w:rPr>
        <w:t>vency ratio grade B is compressed, and most of the graph falls within solvency ratio grad</w:t>
      </w:r>
      <w:r>
        <w:t>e C</w:t>
      </w:r>
      <w:r>
        <w:rPr>
          <w:rFonts w:hint="eastAsia"/>
        </w:rPr>
        <w:t xml:space="preserve">, indicating fewer data points for Cathay </w:t>
      </w:r>
      <w:proofErr w:type="spellStart"/>
      <w:r>
        <w:rPr>
          <w:rFonts w:hint="eastAsia"/>
        </w:rPr>
        <w:t>Financial's</w:t>
      </w:r>
      <w:proofErr w:type="spellEnd"/>
      <w:r>
        <w:rPr>
          <w:rFonts w:hint="eastAsia"/>
        </w:rPr>
        <w:t xml:space="preserve"> stock investment retur</w:t>
      </w:r>
      <w:r>
        <w:t>n a</w:t>
      </w:r>
      <w:r>
        <w:rPr>
          <w:rFonts w:hint="eastAsia"/>
        </w:rPr>
        <w:t xml:space="preserve">t solvency ratio grade B. For life insurance solvency ratio grade B, </w:t>
      </w:r>
      <w:r>
        <w:t>exc</w:t>
      </w:r>
      <w:r>
        <w:rPr>
          <w:rFonts w:hint="eastAsia"/>
        </w:rPr>
        <w:t xml:space="preserve">luding Cathay Financial, Fubon </w:t>
      </w:r>
      <w:proofErr w:type="spellStart"/>
      <w:r>
        <w:rPr>
          <w:rFonts w:hint="eastAsia"/>
        </w:rPr>
        <w:t>Financial's</w:t>
      </w:r>
      <w:proofErr w:type="spellEnd"/>
      <w:r>
        <w:rPr>
          <w:rFonts w:hint="eastAsia"/>
        </w:rPr>
        <w:t xml:space="preserve"> box plot is in the highest position among the other eight financial holding companies, indicating that Fubon </w:t>
      </w:r>
      <w:proofErr w:type="spellStart"/>
      <w:r>
        <w:rPr>
          <w:rFonts w:hint="eastAsia"/>
        </w:rPr>
        <w:t>Financial's</w:t>
      </w:r>
      <w:proofErr w:type="spellEnd"/>
      <w:r>
        <w:rPr>
          <w:rFonts w:hint="eastAsia"/>
        </w:rPr>
        <w:t xml:space="preserve"> stock investment r</w:t>
      </w:r>
      <w:r>
        <w:t>etu</w:t>
      </w:r>
      <w:r>
        <w:rPr>
          <w:rFonts w:hint="eastAsia"/>
        </w:rPr>
        <w:t>rn is higher than the other eight financial holding companies when the life insurance solvency ratio is grade B. For life insurance solvency r</w:t>
      </w:r>
      <w:r>
        <w:t>ati</w:t>
      </w:r>
      <w:r>
        <w:rPr>
          <w:rFonts w:hint="eastAsia"/>
        </w:rPr>
        <w:t xml:space="preserve">o grade C, Cathay </w:t>
      </w:r>
      <w:proofErr w:type="spellStart"/>
      <w:r>
        <w:rPr>
          <w:rFonts w:hint="eastAsia"/>
        </w:rPr>
        <w:t>Financial's</w:t>
      </w:r>
      <w:proofErr w:type="spellEnd"/>
      <w:r>
        <w:rPr>
          <w:rFonts w:hint="eastAsia"/>
        </w:rPr>
        <w:t xml:space="preserve"> box plot shows larger outliers, representing greater volatility in Cathay </w:t>
      </w:r>
      <w:proofErr w:type="spellStart"/>
      <w:r>
        <w:rPr>
          <w:rFonts w:hint="eastAsia"/>
        </w:rPr>
        <w:t>Financial's</w:t>
      </w:r>
      <w:proofErr w:type="spellEnd"/>
      <w:r>
        <w:rPr>
          <w:rFonts w:hint="eastAsia"/>
        </w:rPr>
        <w:t xml:space="preserve"> stock investment return.</w:t>
      </w:r>
    </w:p>
    <w:p w14:paraId="4B82B2EF" w14:textId="77777777" w:rsidR="00474EF8" w:rsidRDefault="00474EF8" w:rsidP="00474EF8">
      <w:pPr>
        <w:ind w:firstLine="480"/>
        <w:rPr>
          <w:rFonts w:ascii="Apple Color Emoji" w:hAnsi="Apple Color Emoji" w:cs="Apple Color Emoji"/>
        </w:rPr>
      </w:pPr>
      <w:r>
        <w:rPr>
          <w:rFonts w:hint="eastAsia"/>
          <w:noProof/>
        </w:rPr>
        <w:drawing>
          <wp:inline distT="0" distB="0" distL="0" distR="0" wp14:anchorId="41841969" wp14:editId="36AD600E">
            <wp:extent cx="5399405" cy="3990975"/>
            <wp:effectExtent l="0" t="0" r="0" b="952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圖片 8"/>
                    <pic:cNvPicPr/>
                  </pic:nvPicPr>
                  <pic:blipFill>
                    <a:blip r:embed="rId9">
                      <a:extLst>
                        <a:ext uri="{28A0092B-C50C-407E-A947-70E740481C1C}">
                          <a14:useLocalDpi xmlns:a14="http://schemas.microsoft.com/office/drawing/2010/main" val="0"/>
                        </a:ext>
                      </a:extLst>
                    </a:blip>
                    <a:stretch>
                      <a:fillRect/>
                    </a:stretch>
                  </pic:blipFill>
                  <pic:spPr>
                    <a:xfrm>
                      <a:off x="0" y="0"/>
                      <a:ext cx="5400003" cy="3991417"/>
                    </a:xfrm>
                    <a:prstGeom prst="rect">
                      <a:avLst/>
                    </a:prstGeom>
                  </pic:spPr>
                </pic:pic>
              </a:graphicData>
            </a:graphic>
          </wp:inline>
        </w:drawing>
      </w:r>
    </w:p>
    <w:p w14:paraId="70174EE4" w14:textId="70602A37" w:rsidR="00474EF8" w:rsidRDefault="00612B00" w:rsidP="00474EF8">
      <w:pPr>
        <w:pStyle w:val="a6"/>
        <w:ind w:firstLine="480"/>
      </w:pPr>
      <w:bookmarkStart w:id="18" w:name="_Toc113394924"/>
      <w:r>
        <w:rPr>
          <w:rFonts w:hint="eastAsia"/>
        </w:rPr>
        <w:t xml:space="preserve">Figure </w:t>
      </w:r>
      <w:r w:rsidR="00474EF8">
        <w:rPr>
          <w:rFonts w:hint="eastAsia"/>
        </w:rPr>
        <w:t>1 Box Plot of Stock Investment Returns</w:t>
      </w:r>
      <w:r w:rsidR="00474EF8">
        <w:fldChar w:fldCharType="begin"/>
      </w:r>
      <w:r w:rsidR="00474EF8">
        <w:instrText xml:space="preserve"> </w:instrText>
      </w:r>
      <w:r w:rsidR="00474EF8">
        <w:rPr>
          <w:rFonts w:hint="eastAsia"/>
        </w:rPr>
        <w:instrText xml:space="preserve">SEQ </w:instrText>
      </w:r>
      <w:r w:rsidR="00474EF8">
        <w:rPr>
          <w:rFonts w:hint="eastAsia"/>
        </w:rPr>
        <w:instrText>圖</w:instrText>
      </w:r>
      <w:r w:rsidR="00474EF8">
        <w:rPr>
          <w:rFonts w:hint="eastAsia"/>
        </w:rPr>
        <w:instrText>4. \* ARABIC</w:instrText>
      </w:r>
      <w:r w:rsidR="00474EF8">
        <w:instrText xml:space="preserve"> </w:instrText>
      </w:r>
      <w:r w:rsidR="00000000">
        <w:fldChar w:fldCharType="separate"/>
      </w:r>
      <w:r w:rsidR="00474EF8">
        <w:fldChar w:fldCharType="end"/>
      </w:r>
      <w:bookmarkEnd w:id="18"/>
    </w:p>
    <w:p w14:paraId="493A7963" w14:textId="77777777" w:rsidR="008554A7" w:rsidRDefault="00474EF8" w:rsidP="00F27561">
      <w:pPr>
        <w:ind w:firstLineChars="0" w:firstLine="0"/>
      </w:pPr>
      <w:r>
        <w:rPr>
          <w:rFonts w:ascii="Apple Color Emoji" w:hAnsi="Apple Color Emoji" w:cs="Apple Color Emoji" w:hint="eastAsia"/>
        </w:rPr>
        <w:t>Note:</w:t>
      </w:r>
      <w:r>
        <w:rPr>
          <w:rFonts w:hint="eastAsia"/>
        </w:rPr>
        <w:t xml:space="preserve"> CDFH for Cathay Financial, CFHS for Cathay Life, CTBC for CTBC Financial, FBND for Fubon Financial, FFHC for First Financial, SKFH for Shin Kong Financial, TCFHC for CTBC Financial, TSFH for </w:t>
      </w:r>
      <w:proofErr w:type="spellStart"/>
      <w:r>
        <w:rPr>
          <w:rFonts w:hint="eastAsia"/>
        </w:rPr>
        <w:t>Taishin</w:t>
      </w:r>
      <w:proofErr w:type="spellEnd"/>
      <w:r>
        <w:rPr>
          <w:rFonts w:hint="eastAsia"/>
        </w:rPr>
        <w:t xml:space="preserve"> Financial, YFH for Yuanta Financial.</w:t>
      </w:r>
    </w:p>
    <w:p w14:paraId="76A97802" w14:textId="77777777" w:rsidR="00F27561" w:rsidRDefault="00F27561" w:rsidP="00DE6038">
      <w:pPr>
        <w:ind w:firstLineChars="0" w:firstLine="0"/>
      </w:pPr>
      <w:bookmarkStart w:id="19" w:name="_Toc113394899"/>
    </w:p>
    <w:p w14:paraId="634FAED8" w14:textId="1FA2ABE9" w:rsidR="00DE6038" w:rsidRDefault="00DE6038" w:rsidP="00D70FCC">
      <w:pPr>
        <w:ind w:firstLineChars="0" w:firstLine="0"/>
      </w:pPr>
      <w:r>
        <w:rPr>
          <w:rFonts w:hint="eastAsia"/>
        </w:rPr>
        <w:t>4</w:t>
      </w:r>
      <w:r w:rsidR="00D70FCC">
        <w:t>.</w:t>
      </w:r>
      <w:r>
        <w:rPr>
          <w:rFonts w:hint="eastAsia"/>
        </w:rPr>
        <w:t>2 Li</w:t>
      </w:r>
      <w:r w:rsidR="00474EF8">
        <w:rPr>
          <w:rFonts w:hint="eastAsia"/>
        </w:rPr>
        <w:t>quidity Risk</w:t>
      </w:r>
      <w:bookmarkEnd w:id="19"/>
    </w:p>
    <w:p w14:paraId="48C2D22F" w14:textId="1B43290D" w:rsidR="0064034F" w:rsidRDefault="00474EF8" w:rsidP="0064034F">
      <w:pPr>
        <w:ind w:firstLine="480"/>
      </w:pPr>
      <w:r>
        <w:rPr>
          <w:rFonts w:hint="eastAsia"/>
        </w:rPr>
        <w:t>Interest Expense Rat</w:t>
      </w:r>
      <w:r>
        <w:t>io (INT) reflects the</w:t>
      </w:r>
      <w:r>
        <w:rPr>
          <w:rFonts w:hint="eastAsia"/>
        </w:rPr>
        <w:t xml:space="preserve"> company's interest expense as a </w:t>
      </w:r>
      <w:r>
        <w:rPr>
          <w:rFonts w:hint="eastAsia"/>
        </w:rPr>
        <w:lastRenderedPageBreak/>
        <w:t xml:space="preserve">proportion of revenue. A lower interest expense ratio indicates that the company is better able to meet </w:t>
      </w:r>
      <w:r>
        <w:t>its intere</w:t>
      </w:r>
      <w:r>
        <w:rPr>
          <w:rFonts w:hint="eastAsia"/>
        </w:rPr>
        <w:t xml:space="preserve">st payment obligations on time. From the box plot of Interest Expense Ratio in </w:t>
      </w:r>
      <w:r w:rsidR="00612B00">
        <w:rPr>
          <w:rFonts w:hint="eastAsia"/>
        </w:rPr>
        <w:t xml:space="preserve">Figure </w:t>
      </w:r>
      <w:r w:rsidR="0064034F">
        <w:t>2</w:t>
      </w:r>
      <w:r>
        <w:rPr>
          <w:rFonts w:hint="eastAsia"/>
        </w:rPr>
        <w:t xml:space="preserve">, CTBC </w:t>
      </w:r>
      <w:proofErr w:type="spellStart"/>
      <w:r>
        <w:rPr>
          <w:rFonts w:hint="eastAsia"/>
        </w:rPr>
        <w:t>Financial</w:t>
      </w:r>
      <w:r>
        <w:t>'s</w:t>
      </w:r>
      <w:proofErr w:type="spellEnd"/>
      <w:r>
        <w:t xml:space="preserve"> </w:t>
      </w:r>
      <w:r>
        <w:rPr>
          <w:rFonts w:hint="eastAsia"/>
        </w:rPr>
        <w:t>life insurance solvency ratio grade is A, but its median is higher than the other eight companies, indicating a greater risk of default on interest payments compared to other companies. At life insurance solvency ratio grade B, t</w:t>
      </w:r>
      <w:r>
        <w:t xml:space="preserve">he </w:t>
      </w:r>
      <w:r>
        <w:rPr>
          <w:rFonts w:hint="eastAsia"/>
        </w:rPr>
        <w:t xml:space="preserve">overall box plots for the interest expense ratio of three companies, including Cathay Financial, CTBC Financial, and Fubon Financial, are lower than the other six companies, suggesting a lower risk of defaulting on interest payments for these </w:t>
      </w:r>
      <w:r w:rsidR="0064034F">
        <w:rPr>
          <w:rFonts w:hint="eastAsia"/>
        </w:rPr>
        <w:t xml:space="preserve">three financial holding companies. </w:t>
      </w:r>
      <w:r w:rsidR="0064034F">
        <w:t>For</w:t>
      </w:r>
      <w:r w:rsidR="0064034F">
        <w:rPr>
          <w:rFonts w:hint="eastAsia"/>
        </w:rPr>
        <w:t xml:space="preserve"> life insurance solvency ratio grade C, First Financial has the highest interest expense ratio, indicating a higher risk of defaulting on </w:t>
      </w:r>
      <w:r w:rsidR="0064034F">
        <w:rPr>
          <w:rFonts w:hint="eastAsia"/>
          <w:noProof/>
        </w:rPr>
        <w:drawing>
          <wp:anchor distT="0" distB="0" distL="114300" distR="114300" simplePos="0" relativeHeight="251659264" behindDoc="1" locked="0" layoutInCell="1" allowOverlap="1" wp14:anchorId="4ECB8F25" wp14:editId="0E31DB31">
            <wp:simplePos x="0" y="0"/>
            <wp:positionH relativeFrom="margin">
              <wp:posOffset>400050</wp:posOffset>
            </wp:positionH>
            <wp:positionV relativeFrom="paragraph">
              <wp:posOffset>1042670</wp:posOffset>
            </wp:positionV>
            <wp:extent cx="4410075" cy="4333875"/>
            <wp:effectExtent l="0" t="0" r="9525" b="9525"/>
            <wp:wrapTopAndBottom/>
            <wp:docPr id="17" name="圖片 17" descr="一張含有 文字, 書寫用具, 信箋, 鉛筆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圖片 17" descr="一張含有 文字, 書寫用具, 信箋, 鉛筆 的圖片&#10;&#10;自動產生的描述"/>
                    <pic:cNvPicPr/>
                  </pic:nvPicPr>
                  <pic:blipFill rotWithShape="1">
                    <a:blip r:embed="rId10">
                      <a:extLst>
                        <a:ext uri="{28A0092B-C50C-407E-A947-70E740481C1C}">
                          <a14:useLocalDpi xmlns:a14="http://schemas.microsoft.com/office/drawing/2010/main" val="0"/>
                        </a:ext>
                      </a:extLst>
                    </a:blip>
                    <a:srcRect t="813" b="888"/>
                    <a:stretch/>
                  </pic:blipFill>
                  <pic:spPr bwMode="auto">
                    <a:xfrm>
                      <a:off x="0" y="0"/>
                      <a:ext cx="4410075" cy="43338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64034F">
        <w:rPr>
          <w:rFonts w:hint="eastAsia"/>
        </w:rPr>
        <w:t>interest payments when the life insurance solvency ratio is lower.</w:t>
      </w:r>
    </w:p>
    <w:p w14:paraId="02F3732F" w14:textId="1248658C" w:rsidR="00474EF8" w:rsidRPr="0064034F" w:rsidRDefault="00474EF8" w:rsidP="00DE6038">
      <w:pPr>
        <w:ind w:firstLine="480"/>
      </w:pPr>
    </w:p>
    <w:p w14:paraId="509675F7" w14:textId="3318D206" w:rsidR="00474EF8" w:rsidRDefault="00612B00" w:rsidP="00474EF8">
      <w:pPr>
        <w:pStyle w:val="a6"/>
        <w:ind w:firstLine="480"/>
      </w:pPr>
      <w:bookmarkStart w:id="20" w:name="_Toc113394927"/>
      <w:r>
        <w:rPr>
          <w:rFonts w:hint="eastAsia"/>
        </w:rPr>
        <w:t xml:space="preserve">Figure </w:t>
      </w:r>
      <w:r w:rsidR="0064034F">
        <w:t>2</w:t>
      </w:r>
      <w:r w:rsidR="00474EF8">
        <w:rPr>
          <w:rFonts w:hint="eastAsia"/>
        </w:rPr>
        <w:t xml:space="preserve"> Box Plot of Interest Expense Ratio</w:t>
      </w:r>
      <w:r w:rsidR="00474EF8">
        <w:fldChar w:fldCharType="begin"/>
      </w:r>
      <w:r w:rsidR="00474EF8">
        <w:instrText xml:space="preserve"> </w:instrText>
      </w:r>
      <w:r w:rsidR="00474EF8">
        <w:rPr>
          <w:rFonts w:hint="eastAsia"/>
        </w:rPr>
        <w:instrText xml:space="preserve">SEQ </w:instrText>
      </w:r>
      <w:r w:rsidR="00474EF8">
        <w:rPr>
          <w:rFonts w:hint="eastAsia"/>
        </w:rPr>
        <w:instrText>圖</w:instrText>
      </w:r>
      <w:r w:rsidR="00474EF8">
        <w:rPr>
          <w:rFonts w:hint="eastAsia"/>
        </w:rPr>
        <w:instrText>4. \* ARABIC</w:instrText>
      </w:r>
      <w:r w:rsidR="00474EF8">
        <w:instrText xml:space="preserve"> </w:instrText>
      </w:r>
      <w:r w:rsidR="00000000">
        <w:fldChar w:fldCharType="separate"/>
      </w:r>
      <w:r w:rsidR="00474EF8">
        <w:fldChar w:fldCharType="end"/>
      </w:r>
      <w:bookmarkEnd w:id="20"/>
    </w:p>
    <w:p w14:paraId="37385ECC" w14:textId="77777777" w:rsidR="008554A7" w:rsidRDefault="00474EF8" w:rsidP="0064034F">
      <w:pPr>
        <w:ind w:firstLineChars="0" w:firstLine="0"/>
      </w:pPr>
      <w:r>
        <w:rPr>
          <w:rFonts w:ascii="Apple Color Emoji" w:hAnsi="Apple Color Emoji" w:cs="Apple Color Emoji" w:hint="eastAsia"/>
        </w:rPr>
        <w:t>Note:</w:t>
      </w:r>
      <w:r>
        <w:rPr>
          <w:rFonts w:hint="eastAsia"/>
        </w:rPr>
        <w:t xml:space="preserve"> CDFH for Cathay Financial, CFHS for Cathay Life, CTBC for CTBC Financial, FBND for Fubon Financial, FFHC for First Financial, SKFH for Shin Kong Financial, TCFHC for CTBC Financial, TSFH for </w:t>
      </w:r>
      <w:proofErr w:type="spellStart"/>
      <w:r>
        <w:rPr>
          <w:rFonts w:hint="eastAsia"/>
        </w:rPr>
        <w:t>Taishin</w:t>
      </w:r>
      <w:proofErr w:type="spellEnd"/>
      <w:r>
        <w:rPr>
          <w:rFonts w:hint="eastAsia"/>
        </w:rPr>
        <w:t xml:space="preserve"> Financial, YFH for Yuanta Financial.</w:t>
      </w:r>
    </w:p>
    <w:p w14:paraId="6B831BFD" w14:textId="77777777" w:rsidR="00D22BB0" w:rsidRDefault="00D22BB0" w:rsidP="00DE6038">
      <w:pPr>
        <w:ind w:firstLineChars="0" w:firstLine="0"/>
      </w:pPr>
      <w:bookmarkStart w:id="21" w:name="_Toc113394900"/>
    </w:p>
    <w:p w14:paraId="08998F54" w14:textId="601819BC" w:rsidR="00474EF8" w:rsidRDefault="00DE6038" w:rsidP="00DE6038">
      <w:pPr>
        <w:ind w:firstLineChars="0" w:firstLine="0"/>
      </w:pPr>
      <w:r>
        <w:rPr>
          <w:rFonts w:hint="eastAsia"/>
        </w:rPr>
        <w:t>4</w:t>
      </w:r>
      <w:r w:rsidR="00D22BB0">
        <w:t>.</w:t>
      </w:r>
      <w:r>
        <w:rPr>
          <w:rFonts w:hint="eastAsia"/>
        </w:rPr>
        <w:t>3 Oper</w:t>
      </w:r>
      <w:r w:rsidR="00474EF8">
        <w:rPr>
          <w:rFonts w:hint="eastAsia"/>
        </w:rPr>
        <w:t>ational Risk</w:t>
      </w:r>
      <w:bookmarkEnd w:id="21"/>
    </w:p>
    <w:p w14:paraId="4C1B565D" w14:textId="7D40E8F9" w:rsidR="0064034F" w:rsidRDefault="00474EF8" w:rsidP="00474EF8">
      <w:pPr>
        <w:pStyle w:val="a0"/>
      </w:pPr>
      <w:r>
        <w:rPr>
          <w:rFonts w:hint="eastAsia"/>
        </w:rPr>
        <w:lastRenderedPageBreak/>
        <w:t xml:space="preserve">A higher Return </w:t>
      </w:r>
      <w:r>
        <w:t>on Assets (ROA) i</w:t>
      </w:r>
      <w:r>
        <w:rPr>
          <w:rFonts w:ascii="Apple Color Emoji" w:hAnsi="Apple Color Emoji" w:cs="Apple Color Emoji" w:hint="eastAsia"/>
        </w:rPr>
        <w:t>ndicates that the company's assets are utilized m</w:t>
      </w:r>
      <w:r>
        <w:rPr>
          <w:rFonts w:hint="eastAsia"/>
        </w:rPr>
        <w:t>or</w:t>
      </w:r>
      <w:r>
        <w:t>e effect</w:t>
      </w:r>
      <w:r>
        <w:rPr>
          <w:rFonts w:hint="eastAsia"/>
        </w:rPr>
        <w:t xml:space="preserve">ively. </w:t>
      </w:r>
      <w:r w:rsidR="00612B00">
        <w:rPr>
          <w:rFonts w:hint="eastAsia"/>
        </w:rPr>
        <w:t xml:space="preserve">Figure </w:t>
      </w:r>
      <w:r w:rsidR="0064034F">
        <w:t>3</w:t>
      </w:r>
      <w:r>
        <w:rPr>
          <w:rFonts w:hint="eastAsia"/>
        </w:rPr>
        <w:t xml:space="preserve"> shows that although CTBC </w:t>
      </w:r>
      <w:proofErr w:type="spellStart"/>
      <w:r>
        <w:rPr>
          <w:rFonts w:hint="eastAsia"/>
        </w:rPr>
        <w:t>Financial's</w:t>
      </w:r>
      <w:proofErr w:type="spellEnd"/>
      <w:r>
        <w:rPr>
          <w:rFonts w:hint="eastAsia"/>
        </w:rPr>
        <w:t xml:space="preserve"> life insurance solvency ratio grade is A, its ROA box plot is nearly the lowest among the nine companies, suggesting poor asset utilization efficiency. Due to Cathay </w:t>
      </w:r>
      <w:proofErr w:type="spellStart"/>
      <w:r>
        <w:rPr>
          <w:rFonts w:hint="eastAsia"/>
        </w:rPr>
        <w:t>Financial's</w:t>
      </w:r>
      <w:proofErr w:type="spellEnd"/>
      <w:r>
        <w:rPr>
          <w:rFonts w:hint="eastAsia"/>
        </w:rPr>
        <w:t xml:space="preserve"> life insurance solvency ratio rarely rea</w:t>
      </w:r>
      <w:r>
        <w:t>ch</w:t>
      </w:r>
      <w:r>
        <w:rPr>
          <w:rFonts w:hint="eastAsia"/>
        </w:rPr>
        <w:t>ing grade B, its box plot for solvency ratio grade B is compressed</w:t>
      </w:r>
      <w:r>
        <w:t xml:space="preserve">. </w:t>
      </w:r>
      <w:r>
        <w:rPr>
          <w:rFonts w:hint="eastAsia"/>
        </w:rPr>
        <w:t>At life insurance solvency ratio grade B, among the eight financial holding compa</w:t>
      </w:r>
      <w:r>
        <w:t>ni</w:t>
      </w:r>
      <w:r>
        <w:rPr>
          <w:rFonts w:hint="eastAsia"/>
        </w:rPr>
        <w:t xml:space="preserve">es excluding Cathay Financial, Fubon </w:t>
      </w:r>
      <w:proofErr w:type="spellStart"/>
      <w:r>
        <w:rPr>
          <w:rFonts w:hint="eastAsia"/>
        </w:rPr>
        <w:t>Financial's</w:t>
      </w:r>
      <w:proofErr w:type="spellEnd"/>
      <w:r>
        <w:rPr>
          <w:rFonts w:hint="eastAsia"/>
        </w:rPr>
        <w:t xml:space="preserve"> ROA box plot is at </w:t>
      </w:r>
    </w:p>
    <w:p w14:paraId="074FC92C" w14:textId="4F3800F7" w:rsidR="00474EF8" w:rsidRDefault="00474EF8" w:rsidP="00474EF8">
      <w:pPr>
        <w:pStyle w:val="a6"/>
        <w:ind w:firstLine="480"/>
      </w:pPr>
      <w:bookmarkStart w:id="22" w:name="_Toc113394928"/>
      <w:r>
        <w:rPr>
          <w:rFonts w:hint="eastAsia"/>
          <w:noProof/>
        </w:rPr>
        <w:drawing>
          <wp:anchor distT="0" distB="0" distL="114300" distR="114300" simplePos="0" relativeHeight="251661312" behindDoc="0" locked="0" layoutInCell="1" allowOverlap="1" wp14:anchorId="025E7D04" wp14:editId="7DEEA73D">
            <wp:simplePos x="0" y="0"/>
            <wp:positionH relativeFrom="column">
              <wp:posOffset>302895</wp:posOffset>
            </wp:positionH>
            <wp:positionV relativeFrom="paragraph">
              <wp:posOffset>-5097145</wp:posOffset>
            </wp:positionV>
            <wp:extent cx="5399405" cy="5399405"/>
            <wp:effectExtent l="0" t="0" r="0" b="0"/>
            <wp:wrapTopAndBottom/>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pic:cNvPicPr/>
                  </pic:nvPicPr>
                  <pic:blipFill>
                    <a:blip r:embed="rId11">
                      <a:extLst>
                        <a:ext uri="{28A0092B-C50C-407E-A947-70E740481C1C}">
                          <a14:useLocalDpi xmlns:a14="http://schemas.microsoft.com/office/drawing/2010/main" val="0"/>
                        </a:ext>
                      </a:extLst>
                    </a:blip>
                    <a:stretch>
                      <a:fillRect/>
                    </a:stretch>
                  </pic:blipFill>
                  <pic:spPr>
                    <a:xfrm>
                      <a:off x="0" y="0"/>
                      <a:ext cx="5399405" cy="5399405"/>
                    </a:xfrm>
                    <a:prstGeom prst="rect">
                      <a:avLst/>
                    </a:prstGeom>
                  </pic:spPr>
                </pic:pic>
              </a:graphicData>
            </a:graphic>
            <wp14:sizeRelH relativeFrom="page">
              <wp14:pctWidth>0</wp14:pctWidth>
            </wp14:sizeRelH>
            <wp14:sizeRelV relativeFrom="page">
              <wp14:pctHeight>0</wp14:pctHeight>
            </wp14:sizeRelV>
          </wp:anchor>
        </w:drawing>
      </w:r>
      <w:r w:rsidR="00612B00">
        <w:rPr>
          <w:rFonts w:hint="eastAsia"/>
        </w:rPr>
        <w:t xml:space="preserve">Figure </w:t>
      </w:r>
      <w:r w:rsidR="0064034F">
        <w:t>3</w:t>
      </w:r>
      <w:r>
        <w:rPr>
          <w:rFonts w:hint="eastAsia"/>
        </w:rPr>
        <w:t xml:space="preserve"> Box Plot of Return on Assets</w:t>
      </w:r>
      <w:r>
        <w:fldChar w:fldCharType="begin"/>
      </w:r>
      <w:r>
        <w:instrText xml:space="preserve"> </w:instrText>
      </w:r>
      <w:r>
        <w:rPr>
          <w:rFonts w:hint="eastAsia"/>
        </w:rPr>
        <w:instrText xml:space="preserve">SEQ </w:instrText>
      </w:r>
      <w:r>
        <w:rPr>
          <w:rFonts w:hint="eastAsia"/>
        </w:rPr>
        <w:instrText>圖</w:instrText>
      </w:r>
      <w:r>
        <w:rPr>
          <w:rFonts w:hint="eastAsia"/>
        </w:rPr>
        <w:instrText>4. \* ARABIC</w:instrText>
      </w:r>
      <w:r>
        <w:instrText xml:space="preserve"> </w:instrText>
      </w:r>
      <w:r w:rsidR="00000000">
        <w:fldChar w:fldCharType="separate"/>
      </w:r>
      <w:r>
        <w:fldChar w:fldCharType="end"/>
      </w:r>
      <w:bookmarkEnd w:id="22"/>
    </w:p>
    <w:p w14:paraId="0E396823" w14:textId="78684F67" w:rsidR="0064034F" w:rsidRDefault="00474EF8" w:rsidP="00D22BB0">
      <w:pPr>
        <w:ind w:firstLineChars="0" w:firstLine="0"/>
      </w:pPr>
      <w:r>
        <w:rPr>
          <w:rFonts w:ascii="Apple Color Emoji" w:hAnsi="Apple Color Emoji" w:cs="Apple Color Emoji" w:hint="eastAsia"/>
        </w:rPr>
        <w:t>Note:</w:t>
      </w:r>
      <w:r>
        <w:rPr>
          <w:rFonts w:hint="eastAsia"/>
        </w:rPr>
        <w:t xml:space="preserve"> CDFH for Cathay Financial, CFHS for Cathay Life, CTBC for CTBC Financial, FBND for Fubon Financial, FFHC for First Financial, SKFH for Shin Kong Financial, TCFHC for CTBC Financial, TSFH for </w:t>
      </w:r>
      <w:proofErr w:type="spellStart"/>
      <w:r>
        <w:rPr>
          <w:rFonts w:hint="eastAsia"/>
        </w:rPr>
        <w:t>Taishin</w:t>
      </w:r>
      <w:proofErr w:type="spellEnd"/>
      <w:r>
        <w:rPr>
          <w:rFonts w:hint="eastAsia"/>
        </w:rPr>
        <w:t xml:space="preserve"> Financial, YFH for Yuanta Financial.</w:t>
      </w:r>
    </w:p>
    <w:p w14:paraId="2197432C" w14:textId="4253A292" w:rsidR="0064034F" w:rsidRDefault="0064034F" w:rsidP="0064034F">
      <w:pPr>
        <w:pStyle w:val="a0"/>
      </w:pPr>
      <w:r>
        <w:rPr>
          <w:rFonts w:hint="eastAsia"/>
        </w:rPr>
        <w:t>Year-over-Year (</w:t>
      </w:r>
      <w:r>
        <w:t>YOY) revenue grow</w:t>
      </w:r>
      <w:r>
        <w:rPr>
          <w:rFonts w:hint="eastAsia"/>
        </w:rPr>
        <w:t xml:space="preserve">th rate reflects the growth rate of the </w:t>
      </w:r>
      <w:r>
        <w:rPr>
          <w:rFonts w:hint="eastAsia"/>
        </w:rPr>
        <w:lastRenderedPageBreak/>
        <w:t>company's revenue in a specific period of the current year compared to the same period last year. A higher reven</w:t>
      </w:r>
      <w:r>
        <w:t>ue growt</w:t>
      </w:r>
      <w:r>
        <w:rPr>
          <w:rFonts w:hint="eastAsia"/>
        </w:rPr>
        <w:t xml:space="preserve">h rate indicates better sales growth for the company. </w:t>
      </w:r>
      <w:r w:rsidR="00612B00">
        <w:rPr>
          <w:rFonts w:hint="eastAsia"/>
        </w:rPr>
        <w:t xml:space="preserve">Figure </w:t>
      </w:r>
      <w:r w:rsidR="000D02C5">
        <w:t>4</w:t>
      </w:r>
      <w:r>
        <w:rPr>
          <w:rFonts w:hint="eastAsia"/>
        </w:rPr>
        <w:t xml:space="preserve"> shows that Yuanta </w:t>
      </w:r>
      <w:proofErr w:type="spellStart"/>
      <w:r>
        <w:rPr>
          <w:rFonts w:hint="eastAsia"/>
        </w:rPr>
        <w:t>Financial's</w:t>
      </w:r>
      <w:proofErr w:type="spellEnd"/>
      <w:r>
        <w:rPr>
          <w:rFonts w:hint="eastAsia"/>
        </w:rPr>
        <w:t xml:space="preserve"> revenue growth rate box plot is more dispersed, indicating large fluctuations in the company's data and thu</w:t>
      </w:r>
      <w:r>
        <w:t xml:space="preserve">s </w:t>
      </w:r>
      <w:r>
        <w:rPr>
          <w:rFonts w:hint="eastAsia"/>
        </w:rPr>
        <w:t>uns</w:t>
      </w:r>
      <w:r w:rsidR="005376CF">
        <w:t>t</w:t>
      </w:r>
      <w:r w:rsidR="00612B00">
        <w:rPr>
          <w:rFonts w:hint="eastAsia"/>
        </w:rPr>
        <w:t>able</w:t>
      </w:r>
      <w:r>
        <w:rPr>
          <w:rFonts w:hint="eastAsia"/>
        </w:rPr>
        <w:t xml:space="preserve"> revenue growth. CTBC </w:t>
      </w:r>
      <w:proofErr w:type="spellStart"/>
      <w:r>
        <w:rPr>
          <w:rFonts w:hint="eastAsia"/>
        </w:rPr>
        <w:t>Financial's</w:t>
      </w:r>
      <w:proofErr w:type="spellEnd"/>
      <w:r>
        <w:rPr>
          <w:rFonts w:hint="eastAsia"/>
        </w:rPr>
        <w:t xml:space="preserve"> life insur</w:t>
      </w:r>
      <w:r>
        <w:t>an</w:t>
      </w:r>
      <w:r>
        <w:rPr>
          <w:rFonts w:hint="eastAsia"/>
        </w:rPr>
        <w:t xml:space="preserve">ce solvency ratio grade is A, but the median of its box plot is below 0, indicating that over 50% of CTBC </w:t>
      </w:r>
      <w:proofErr w:type="spellStart"/>
      <w:r>
        <w:rPr>
          <w:rFonts w:hint="eastAsia"/>
        </w:rPr>
        <w:t>Financial's</w:t>
      </w:r>
      <w:proofErr w:type="spellEnd"/>
      <w:r>
        <w:rPr>
          <w:rFonts w:hint="eastAsia"/>
        </w:rPr>
        <w:t xml:space="preserve"> re</w:t>
      </w:r>
      <w:r>
        <w:t>ve</w:t>
      </w:r>
      <w:r>
        <w:rPr>
          <w:rFonts w:hint="eastAsia"/>
        </w:rPr>
        <w:t>nue growth rate data is negative</w:t>
      </w:r>
      <w:r>
        <w:t xml:space="preserve">. </w:t>
      </w:r>
      <w:r>
        <w:rPr>
          <w:rFonts w:hint="eastAsia"/>
        </w:rPr>
        <w:t xml:space="preserve">At life insurance solvency ratio grade B, CTBC </w:t>
      </w:r>
      <w:proofErr w:type="spellStart"/>
      <w:r>
        <w:rPr>
          <w:rFonts w:hint="eastAsia"/>
        </w:rPr>
        <w:t>Financial's</w:t>
      </w:r>
      <w:proofErr w:type="spellEnd"/>
      <w:r>
        <w:rPr>
          <w:rFonts w:hint="eastAsia"/>
        </w:rPr>
        <w:t xml:space="preserve"> box plot is below 0 and relatively flat, indicating negative revenue growth with small flu</w:t>
      </w:r>
      <w:r>
        <w:t>ct</w:t>
      </w:r>
      <w:r>
        <w:rPr>
          <w:rFonts w:hint="eastAsia"/>
        </w:rPr>
        <w:t xml:space="preserve">uations. For life insurance solvency ratio grade C, Cathay </w:t>
      </w:r>
      <w:proofErr w:type="spellStart"/>
      <w:r>
        <w:rPr>
          <w:rFonts w:hint="eastAsia"/>
        </w:rPr>
        <w:t>Financial's</w:t>
      </w:r>
      <w:proofErr w:type="spellEnd"/>
      <w:r>
        <w:rPr>
          <w:rFonts w:hint="eastAsia"/>
        </w:rPr>
        <w:t xml:space="preserve"> box plot is relatively flat, indicating concentrated revenue growth data with small fluctuations. Conversely, CTBC </w:t>
      </w:r>
      <w:proofErr w:type="spellStart"/>
      <w:r>
        <w:t>f</w:t>
      </w:r>
      <w:r>
        <w:rPr>
          <w:rFonts w:hint="eastAsia"/>
        </w:rPr>
        <w:t>inanci</w:t>
      </w:r>
      <w:r>
        <w:t>al</w:t>
      </w:r>
      <w:r>
        <w:rPr>
          <w:rFonts w:hint="eastAsia"/>
        </w:rPr>
        <w:t>'s</w:t>
      </w:r>
      <w:proofErr w:type="spellEnd"/>
      <w:r>
        <w:rPr>
          <w:rFonts w:hint="eastAsia"/>
        </w:rPr>
        <w:t xml:space="preserve"> box plot at life insurance solvency ratio grade C is dispersed, indicating scattered revenue growth data with large fluctuations.</w:t>
      </w:r>
      <w:r>
        <w:t xml:space="preserve"> </w:t>
      </w:r>
      <w:r w:rsidR="000D02C5">
        <w:t>FBND has t</w:t>
      </w:r>
      <w:r>
        <w:rPr>
          <w:rFonts w:hint="eastAsia"/>
        </w:rPr>
        <w:t>he highest position, indicating better asset utilization efficiency for this financial holding company.</w:t>
      </w:r>
    </w:p>
    <w:p w14:paraId="5F4642DF" w14:textId="77777777" w:rsidR="000D02C5" w:rsidRPr="007D4F06" w:rsidRDefault="000D02C5" w:rsidP="000D02C5">
      <w:pPr>
        <w:pStyle w:val="a6"/>
        <w:ind w:firstLine="480"/>
      </w:pPr>
    </w:p>
    <w:p w14:paraId="25804FC9" w14:textId="77777777" w:rsidR="000D02C5" w:rsidRDefault="000D02C5" w:rsidP="000D02C5">
      <w:pPr>
        <w:ind w:firstLine="480"/>
        <w:jc w:val="center"/>
      </w:pPr>
      <w:r>
        <w:rPr>
          <w:noProof/>
        </w:rPr>
        <w:lastRenderedPageBreak/>
        <w:drawing>
          <wp:inline distT="0" distB="0" distL="0" distR="0" wp14:anchorId="698F7637" wp14:editId="3FB70D6C">
            <wp:extent cx="5403600" cy="5403600"/>
            <wp:effectExtent l="0" t="0" r="0" b="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圖片 11"/>
                    <pic:cNvPicPr/>
                  </pic:nvPicPr>
                  <pic:blipFill>
                    <a:blip r:embed="rId12">
                      <a:extLst>
                        <a:ext uri="{28A0092B-C50C-407E-A947-70E740481C1C}">
                          <a14:useLocalDpi xmlns:a14="http://schemas.microsoft.com/office/drawing/2010/main" val="0"/>
                        </a:ext>
                      </a:extLst>
                    </a:blip>
                    <a:stretch>
                      <a:fillRect/>
                    </a:stretch>
                  </pic:blipFill>
                  <pic:spPr>
                    <a:xfrm>
                      <a:off x="0" y="0"/>
                      <a:ext cx="5403600" cy="5403600"/>
                    </a:xfrm>
                    <a:prstGeom prst="rect">
                      <a:avLst/>
                    </a:prstGeom>
                  </pic:spPr>
                </pic:pic>
              </a:graphicData>
            </a:graphic>
          </wp:inline>
        </w:drawing>
      </w:r>
    </w:p>
    <w:p w14:paraId="4681A5A4" w14:textId="7C89B06A" w:rsidR="000D02C5" w:rsidRDefault="00612B00" w:rsidP="000D02C5">
      <w:pPr>
        <w:pStyle w:val="a6"/>
        <w:ind w:firstLine="480"/>
      </w:pPr>
      <w:bookmarkStart w:id="23" w:name="_Toc113394930"/>
      <w:r>
        <w:rPr>
          <w:rFonts w:hint="eastAsia"/>
        </w:rPr>
        <w:t xml:space="preserve">Figure </w:t>
      </w:r>
      <w:r w:rsidR="000D02C5">
        <w:t>4</w:t>
      </w:r>
      <w:r w:rsidR="000D02C5">
        <w:rPr>
          <w:rFonts w:hint="eastAsia"/>
        </w:rPr>
        <w:t xml:space="preserve"> Box Plot of Revenue Growth Rate</w:t>
      </w:r>
      <w:r w:rsidR="000D02C5">
        <w:fldChar w:fldCharType="begin"/>
      </w:r>
      <w:r w:rsidR="000D02C5">
        <w:instrText xml:space="preserve"> </w:instrText>
      </w:r>
      <w:r w:rsidR="000D02C5">
        <w:rPr>
          <w:rFonts w:hint="eastAsia"/>
        </w:rPr>
        <w:instrText xml:space="preserve">SEQ </w:instrText>
      </w:r>
      <w:r w:rsidR="000D02C5">
        <w:rPr>
          <w:rFonts w:hint="eastAsia"/>
        </w:rPr>
        <w:instrText>圖</w:instrText>
      </w:r>
      <w:r w:rsidR="000D02C5">
        <w:rPr>
          <w:rFonts w:hint="eastAsia"/>
        </w:rPr>
        <w:instrText>4. \* ARABIC</w:instrText>
      </w:r>
      <w:r w:rsidR="000D02C5">
        <w:instrText xml:space="preserve"> </w:instrText>
      </w:r>
      <w:r w:rsidR="00000000">
        <w:fldChar w:fldCharType="separate"/>
      </w:r>
      <w:r w:rsidR="000D02C5">
        <w:fldChar w:fldCharType="end"/>
      </w:r>
      <w:bookmarkEnd w:id="23"/>
    </w:p>
    <w:p w14:paraId="76BC5353" w14:textId="77777777" w:rsidR="000D02C5" w:rsidRDefault="000D02C5" w:rsidP="000D02C5">
      <w:pPr>
        <w:ind w:firstLineChars="0" w:firstLine="0"/>
      </w:pPr>
      <w:r>
        <w:rPr>
          <w:rFonts w:ascii="Apple Color Emoji" w:hAnsi="Apple Color Emoji" w:cs="Apple Color Emoji" w:hint="eastAsia"/>
        </w:rPr>
        <w:t>Note:</w:t>
      </w:r>
      <w:r>
        <w:rPr>
          <w:rFonts w:hint="eastAsia"/>
        </w:rPr>
        <w:t xml:space="preserve"> CDFH for Cathay Financial, CFHS for Cathay Life, CTBC for CTBC Financial, FBND for Fubon Financial, FFHC for First Financial, SKFH for Shin Kong Financial, TCFHC for CTBC Financial, TSFH for </w:t>
      </w:r>
      <w:proofErr w:type="spellStart"/>
      <w:r>
        <w:rPr>
          <w:rFonts w:hint="eastAsia"/>
        </w:rPr>
        <w:t>Taishin</w:t>
      </w:r>
      <w:proofErr w:type="spellEnd"/>
      <w:r>
        <w:rPr>
          <w:rFonts w:hint="eastAsia"/>
        </w:rPr>
        <w:t xml:space="preserve"> Financial, YFH for Yuanta Financial.</w:t>
      </w:r>
    </w:p>
    <w:p w14:paraId="31D593AF" w14:textId="77777777" w:rsidR="000D02C5" w:rsidRDefault="000D02C5" w:rsidP="000D02C5">
      <w:pPr>
        <w:ind w:firstLineChars="0" w:firstLine="0"/>
      </w:pPr>
      <w:bookmarkStart w:id="24" w:name="_Toc113394901"/>
      <w:r>
        <w:rPr>
          <w:rFonts w:hint="eastAsia"/>
        </w:rPr>
        <w:t>Other Risks</w:t>
      </w:r>
      <w:bookmarkEnd w:id="24"/>
    </w:p>
    <w:p w14:paraId="0223873C" w14:textId="5CB14A39" w:rsidR="000D02C5" w:rsidRDefault="000D02C5" w:rsidP="000D02C5">
      <w:pPr>
        <w:pStyle w:val="a0"/>
      </w:pPr>
      <w:bookmarkStart w:id="25" w:name="OLE_LINK1"/>
      <w:r>
        <w:rPr>
          <w:rFonts w:hint="eastAsia"/>
        </w:rPr>
        <w:t>A higher Return on Eq</w:t>
      </w:r>
      <w:bookmarkEnd w:id="25"/>
      <w:r>
        <w:rPr>
          <w:rFonts w:hint="eastAsia"/>
        </w:rPr>
        <w:t>uit</w:t>
      </w:r>
      <w:r>
        <w:t xml:space="preserve">y (ROE) indicates </w:t>
      </w:r>
      <w:r>
        <w:rPr>
          <w:rFonts w:ascii="Apple Color Emoji" w:hAnsi="Apple Color Emoji" w:cs="Apple Color Emoji" w:hint="eastAsia"/>
        </w:rPr>
        <w:t xml:space="preserve">that the company can generate greater profits from net assets. </w:t>
      </w:r>
      <w:r>
        <w:rPr>
          <w:rFonts w:hint="eastAsia"/>
        </w:rPr>
        <w:t>As sho</w:t>
      </w:r>
      <w:r>
        <w:t xml:space="preserve">wn in </w:t>
      </w:r>
      <w:r w:rsidR="00612B00">
        <w:t xml:space="preserve">Figure </w:t>
      </w:r>
      <w:r>
        <w:t>5</w:t>
      </w:r>
      <w:r>
        <w:rPr>
          <w:rFonts w:hint="eastAsia"/>
        </w:rPr>
        <w:t xml:space="preserve">, Fubon </w:t>
      </w:r>
      <w:proofErr w:type="spellStart"/>
      <w:r>
        <w:rPr>
          <w:rFonts w:hint="eastAsia"/>
        </w:rPr>
        <w:t>Financial's</w:t>
      </w:r>
      <w:proofErr w:type="spellEnd"/>
      <w:r>
        <w:rPr>
          <w:rFonts w:hint="eastAsia"/>
        </w:rPr>
        <w:t xml:space="preserve"> ROE box plot is the highest at life insurance solvency ratio grade B, indicating relatively good profitability for Fubon Financial. Although CTBC </w:t>
      </w:r>
      <w:proofErr w:type="spellStart"/>
      <w:r>
        <w:rPr>
          <w:rFonts w:hint="eastAsia"/>
        </w:rPr>
        <w:t>Financial's</w:t>
      </w:r>
      <w:proofErr w:type="spellEnd"/>
      <w:r>
        <w:rPr>
          <w:rFonts w:hint="eastAsia"/>
        </w:rPr>
        <w:t xml:space="preserve"> life insurance solvency ratio grad</w:t>
      </w:r>
      <w:r>
        <w:t>e i</w:t>
      </w:r>
      <w:r>
        <w:rPr>
          <w:rFonts w:hint="eastAsia"/>
        </w:rPr>
        <w:t>s A, its ROE box plot is not higher than the other eight financial holding companies, suggesting that a higher life insurance solvency ratio does not necessarily lead to a higher ROE.</w:t>
      </w:r>
    </w:p>
    <w:p w14:paraId="46DCFF7A" w14:textId="77777777" w:rsidR="0064034F" w:rsidRPr="000D02C5" w:rsidRDefault="0064034F" w:rsidP="00474EF8">
      <w:pPr>
        <w:ind w:firstLine="480"/>
      </w:pPr>
    </w:p>
    <w:p w14:paraId="6CD07391" w14:textId="77777777" w:rsidR="00474EF8" w:rsidRDefault="00474EF8" w:rsidP="00474EF8">
      <w:pPr>
        <w:ind w:firstLine="480"/>
        <w:jc w:val="center"/>
      </w:pPr>
      <w:r>
        <w:rPr>
          <w:noProof/>
        </w:rPr>
        <w:drawing>
          <wp:inline distT="0" distB="0" distL="0" distR="0" wp14:anchorId="4792D67C" wp14:editId="00ACD720">
            <wp:extent cx="5399405" cy="4267200"/>
            <wp:effectExtent l="0" t="0" r="0" b="0"/>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pic:cNvPicPr/>
                  </pic:nvPicPr>
                  <pic:blipFill>
                    <a:blip r:embed="rId13">
                      <a:extLst>
                        <a:ext uri="{28A0092B-C50C-407E-A947-70E740481C1C}">
                          <a14:useLocalDpi xmlns:a14="http://schemas.microsoft.com/office/drawing/2010/main" val="0"/>
                        </a:ext>
                      </a:extLst>
                    </a:blip>
                    <a:stretch>
                      <a:fillRect/>
                    </a:stretch>
                  </pic:blipFill>
                  <pic:spPr>
                    <a:xfrm>
                      <a:off x="0" y="0"/>
                      <a:ext cx="5400005" cy="4267674"/>
                    </a:xfrm>
                    <a:prstGeom prst="rect">
                      <a:avLst/>
                    </a:prstGeom>
                  </pic:spPr>
                </pic:pic>
              </a:graphicData>
            </a:graphic>
          </wp:inline>
        </w:drawing>
      </w:r>
    </w:p>
    <w:p w14:paraId="13EE7F09" w14:textId="00D06C4F" w:rsidR="00474EF8" w:rsidRDefault="00612B00" w:rsidP="00474EF8">
      <w:pPr>
        <w:pStyle w:val="a6"/>
        <w:ind w:firstLine="480"/>
      </w:pPr>
      <w:bookmarkStart w:id="26" w:name="_Toc113394929"/>
      <w:r>
        <w:rPr>
          <w:rFonts w:hint="eastAsia"/>
        </w:rPr>
        <w:t xml:space="preserve">Figure </w:t>
      </w:r>
      <w:r w:rsidR="000D02C5">
        <w:t>5</w:t>
      </w:r>
      <w:r w:rsidR="00474EF8">
        <w:rPr>
          <w:rFonts w:hint="eastAsia"/>
        </w:rPr>
        <w:t xml:space="preserve"> Box Plot of Return on Equity</w:t>
      </w:r>
      <w:r w:rsidR="00474EF8">
        <w:fldChar w:fldCharType="begin"/>
      </w:r>
      <w:r w:rsidR="00474EF8">
        <w:instrText xml:space="preserve"> </w:instrText>
      </w:r>
      <w:r w:rsidR="00474EF8">
        <w:rPr>
          <w:rFonts w:hint="eastAsia"/>
        </w:rPr>
        <w:instrText xml:space="preserve">SEQ </w:instrText>
      </w:r>
      <w:r w:rsidR="00474EF8">
        <w:rPr>
          <w:rFonts w:hint="eastAsia"/>
        </w:rPr>
        <w:instrText>圖</w:instrText>
      </w:r>
      <w:r w:rsidR="00474EF8">
        <w:rPr>
          <w:rFonts w:hint="eastAsia"/>
        </w:rPr>
        <w:instrText>4. \* ARABIC</w:instrText>
      </w:r>
      <w:r w:rsidR="00474EF8">
        <w:instrText xml:space="preserve"> </w:instrText>
      </w:r>
      <w:r w:rsidR="00000000">
        <w:fldChar w:fldCharType="separate"/>
      </w:r>
      <w:r w:rsidR="00474EF8">
        <w:fldChar w:fldCharType="end"/>
      </w:r>
      <w:bookmarkEnd w:id="26"/>
    </w:p>
    <w:p w14:paraId="3F8C2B66" w14:textId="77777777" w:rsidR="00474EF8" w:rsidRPr="006303BB" w:rsidRDefault="00474EF8" w:rsidP="0064034F">
      <w:pPr>
        <w:ind w:firstLineChars="0" w:firstLine="0"/>
      </w:pPr>
      <w:r>
        <w:rPr>
          <w:rFonts w:ascii="Apple Color Emoji" w:hAnsi="Apple Color Emoji" w:cs="Apple Color Emoji" w:hint="eastAsia"/>
        </w:rPr>
        <w:t>Note:</w:t>
      </w:r>
      <w:r>
        <w:rPr>
          <w:rFonts w:hint="eastAsia"/>
        </w:rPr>
        <w:t xml:space="preserve"> CDFH for Cathay Financial, CFHS for Cathay Life, CTBC for CTBC Financial, FBND for Fubon Financial, FFHC for First Financial, SKFH for Shin Kong Financial, TCFHC for CTBC Financial, TSFH for </w:t>
      </w:r>
      <w:proofErr w:type="spellStart"/>
      <w:r>
        <w:rPr>
          <w:rFonts w:hint="eastAsia"/>
        </w:rPr>
        <w:t>Taishin</w:t>
      </w:r>
      <w:proofErr w:type="spellEnd"/>
      <w:r>
        <w:rPr>
          <w:rFonts w:hint="eastAsia"/>
        </w:rPr>
        <w:t xml:space="preserve"> Financial, YFH for Yuanta Financial.</w:t>
      </w:r>
    </w:p>
    <w:p w14:paraId="6A22A924" w14:textId="1AB88642" w:rsidR="00474EF8" w:rsidRDefault="00474EF8" w:rsidP="00474EF8">
      <w:pPr>
        <w:pStyle w:val="a0"/>
      </w:pPr>
      <w:r>
        <w:rPr>
          <w:rFonts w:hint="eastAsia"/>
        </w:rPr>
        <w:t xml:space="preserve">The Debt Ratio </w:t>
      </w:r>
      <w:r>
        <w:t>is generally positively correlated w</w:t>
      </w:r>
      <w:r>
        <w:rPr>
          <w:rFonts w:hint="eastAsia"/>
        </w:rPr>
        <w:t xml:space="preserve">ith a company's long-term solvency. </w:t>
      </w:r>
      <w:r w:rsidR="00612B00">
        <w:rPr>
          <w:rFonts w:hint="eastAsia"/>
        </w:rPr>
        <w:t xml:space="preserve">Figure </w:t>
      </w:r>
      <w:r w:rsidR="000D02C5">
        <w:t>6</w:t>
      </w:r>
      <w:r>
        <w:rPr>
          <w:rFonts w:hint="eastAsia"/>
        </w:rPr>
        <w:t xml:space="preserve"> sho</w:t>
      </w:r>
      <w:r>
        <w:t xml:space="preserve">ws that </w:t>
      </w:r>
      <w:r>
        <w:rPr>
          <w:rFonts w:hint="eastAsia"/>
        </w:rPr>
        <w:t>at life insurance solvency ratio grade A, CTBC Fin</w:t>
      </w:r>
      <w:r>
        <w:t>an</w:t>
      </w:r>
      <w:r>
        <w:rPr>
          <w:rFonts w:hint="eastAsia"/>
        </w:rPr>
        <w:t>cial has better long-term solvency, while Yuanta Financial has the lowest. At life insurance solvency ratio grade B, First</w:t>
      </w:r>
      <w:r>
        <w:t xml:space="preserve"> F</w:t>
      </w:r>
      <w:r>
        <w:rPr>
          <w:rFonts w:hint="eastAsia"/>
        </w:rPr>
        <w:t>inancial has better long-term solvency. At life insurance solvency ratio grade C, S</w:t>
      </w:r>
      <w:r>
        <w:t>hi</w:t>
      </w:r>
      <w:r>
        <w:rPr>
          <w:rFonts w:hint="eastAsia"/>
        </w:rPr>
        <w:t>n Kong Financial has better long-term solvency.</w:t>
      </w:r>
    </w:p>
    <w:p w14:paraId="4EBFB2E7" w14:textId="77777777" w:rsidR="00474EF8" w:rsidRPr="005A3769" w:rsidRDefault="00474EF8" w:rsidP="00474EF8">
      <w:pPr>
        <w:ind w:firstLine="480"/>
        <w:jc w:val="center"/>
      </w:pPr>
      <w:r>
        <w:rPr>
          <w:rFonts w:hint="eastAsia"/>
          <w:noProof/>
        </w:rPr>
        <w:lastRenderedPageBreak/>
        <w:drawing>
          <wp:inline distT="0" distB="0" distL="0" distR="0" wp14:anchorId="603E6F21" wp14:editId="563A2BDD">
            <wp:extent cx="5400000" cy="5400000"/>
            <wp:effectExtent l="0" t="0" r="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圖片 10"/>
                    <pic:cNvPicPr/>
                  </pic:nvPicPr>
                  <pic:blipFill>
                    <a:blip r:embed="rId14">
                      <a:extLst>
                        <a:ext uri="{28A0092B-C50C-407E-A947-70E740481C1C}">
                          <a14:useLocalDpi xmlns:a14="http://schemas.microsoft.com/office/drawing/2010/main" val="0"/>
                        </a:ext>
                      </a:extLst>
                    </a:blip>
                    <a:stretch>
                      <a:fillRect/>
                    </a:stretch>
                  </pic:blipFill>
                  <pic:spPr>
                    <a:xfrm>
                      <a:off x="0" y="0"/>
                      <a:ext cx="5400000" cy="5400000"/>
                    </a:xfrm>
                    <a:prstGeom prst="rect">
                      <a:avLst/>
                    </a:prstGeom>
                  </pic:spPr>
                </pic:pic>
              </a:graphicData>
            </a:graphic>
          </wp:inline>
        </w:drawing>
      </w:r>
    </w:p>
    <w:p w14:paraId="2B3F262E" w14:textId="7CD42193" w:rsidR="00474EF8" w:rsidRDefault="00612B00" w:rsidP="00474EF8">
      <w:pPr>
        <w:pStyle w:val="a6"/>
        <w:ind w:firstLine="480"/>
      </w:pPr>
      <w:bookmarkStart w:id="27" w:name="_Toc113394931"/>
      <w:r>
        <w:rPr>
          <w:rFonts w:hint="eastAsia"/>
        </w:rPr>
        <w:t xml:space="preserve">Figure </w:t>
      </w:r>
      <w:r w:rsidR="000D02C5">
        <w:t>6</w:t>
      </w:r>
      <w:r w:rsidR="00474EF8">
        <w:rPr>
          <w:rFonts w:hint="eastAsia"/>
        </w:rPr>
        <w:t xml:space="preserve"> Box Plot of Debt Ratio</w:t>
      </w:r>
      <w:r w:rsidR="00474EF8">
        <w:fldChar w:fldCharType="begin"/>
      </w:r>
      <w:r w:rsidR="00474EF8">
        <w:instrText xml:space="preserve"> </w:instrText>
      </w:r>
      <w:r w:rsidR="00474EF8">
        <w:rPr>
          <w:rFonts w:hint="eastAsia"/>
        </w:rPr>
        <w:instrText xml:space="preserve">SEQ </w:instrText>
      </w:r>
      <w:r w:rsidR="00474EF8">
        <w:rPr>
          <w:rFonts w:hint="eastAsia"/>
        </w:rPr>
        <w:instrText>圖</w:instrText>
      </w:r>
      <w:r w:rsidR="00474EF8">
        <w:rPr>
          <w:rFonts w:hint="eastAsia"/>
        </w:rPr>
        <w:instrText>4. \* ARABIC</w:instrText>
      </w:r>
      <w:r w:rsidR="00474EF8">
        <w:instrText xml:space="preserve"> </w:instrText>
      </w:r>
      <w:r w:rsidR="00000000">
        <w:fldChar w:fldCharType="separate"/>
      </w:r>
      <w:r w:rsidR="00474EF8">
        <w:fldChar w:fldCharType="end"/>
      </w:r>
      <w:bookmarkEnd w:id="27"/>
    </w:p>
    <w:p w14:paraId="30A87985" w14:textId="77777777" w:rsidR="00474EF8" w:rsidRDefault="00474EF8" w:rsidP="000D02C5">
      <w:pPr>
        <w:ind w:firstLineChars="0" w:firstLine="0"/>
      </w:pPr>
      <w:r>
        <w:rPr>
          <w:rFonts w:ascii="Apple Color Emoji" w:hAnsi="Apple Color Emoji" w:cs="Apple Color Emoji" w:hint="eastAsia"/>
        </w:rPr>
        <w:t>Note:</w:t>
      </w:r>
      <w:r>
        <w:rPr>
          <w:rFonts w:hint="eastAsia"/>
        </w:rPr>
        <w:t xml:space="preserve"> CDFH for Cathay Financial, CFHS for Cathay Life, CTBC for CTBC Financial, FBND for Fubon Financial, FFHC for First Financial, SKFH for Shin Kong Financial, TCFHC for CTBC Financial, TSFH for </w:t>
      </w:r>
      <w:proofErr w:type="spellStart"/>
      <w:r>
        <w:rPr>
          <w:rFonts w:hint="eastAsia"/>
        </w:rPr>
        <w:t>Taishin</w:t>
      </w:r>
      <w:proofErr w:type="spellEnd"/>
      <w:r>
        <w:rPr>
          <w:rFonts w:hint="eastAsia"/>
        </w:rPr>
        <w:t xml:space="preserve"> Financial, YFH for Yuanta Financial.</w:t>
      </w:r>
    </w:p>
    <w:p w14:paraId="62C2C832" w14:textId="77777777" w:rsidR="00D22BB0" w:rsidRDefault="00D22BB0" w:rsidP="00DE6038">
      <w:pPr>
        <w:ind w:firstLineChars="0" w:firstLine="0"/>
      </w:pPr>
      <w:bookmarkStart w:id="28" w:name="_Toc113394902"/>
    </w:p>
    <w:p w14:paraId="4A4AAFBE" w14:textId="2AF25683" w:rsidR="00474EF8" w:rsidRDefault="00DE6038" w:rsidP="00DE6038">
      <w:pPr>
        <w:ind w:firstLineChars="0" w:firstLine="0"/>
      </w:pPr>
      <w:r>
        <w:rPr>
          <w:rFonts w:hint="eastAsia"/>
        </w:rPr>
        <w:t>4</w:t>
      </w:r>
      <w:r w:rsidR="00D22BB0">
        <w:t>.4</w:t>
      </w:r>
      <w:r>
        <w:rPr>
          <w:rFonts w:hint="eastAsia"/>
        </w:rPr>
        <w:t xml:space="preserve"> Corre</w:t>
      </w:r>
      <w:r w:rsidR="00474EF8">
        <w:rPr>
          <w:rFonts w:hint="eastAsia"/>
        </w:rPr>
        <w:t>lation Analysis</w:t>
      </w:r>
      <w:bookmarkEnd w:id="28"/>
    </w:p>
    <w:p w14:paraId="2E44F05B" w14:textId="77777777" w:rsidR="00474EF8" w:rsidRDefault="00474EF8" w:rsidP="00474EF8">
      <w:pPr>
        <w:pStyle w:val="a0"/>
      </w:pPr>
      <w:r>
        <w:rPr>
          <w:rFonts w:hint="eastAsia"/>
        </w:rPr>
        <w:t xml:space="preserve">This study </w:t>
      </w:r>
      <w:r w:rsidRPr="000806CF">
        <w:rPr>
          <w:rFonts w:hint="eastAsia"/>
        </w:rPr>
        <w:t>uses the Pearson Pro</w:t>
      </w:r>
      <w:r>
        <w:rPr>
          <w:rFonts w:hint="eastAsia"/>
        </w:rPr>
        <w:t>du</w:t>
      </w:r>
      <w:r>
        <w:t>ct</w:t>
      </w:r>
      <w:r w:rsidRPr="000806CF">
        <w:t>-Moment Correlation Coefficient to explore the relationships between variables. In statistics, it is a</w:t>
      </w:r>
      <w:r>
        <w:rPr>
          <w:rFonts w:hint="eastAsia"/>
        </w:rPr>
        <w:t xml:space="preserve">n </w:t>
      </w:r>
      <w:r>
        <w:t>in</w:t>
      </w:r>
      <w:r>
        <w:rPr>
          <w:rFonts w:hint="eastAsia"/>
        </w:rPr>
        <w:t>dicator used to represen</w:t>
      </w:r>
      <w:r w:rsidRPr="005B5646">
        <w:rPr>
          <w:rFonts w:hint="eastAsia"/>
        </w:rPr>
        <w:t>t the degree of associatio</w:t>
      </w:r>
      <w:r>
        <w:rPr>
          <w:rFonts w:hint="eastAsia"/>
        </w:rPr>
        <w:t>n be</w:t>
      </w:r>
      <w:r w:rsidRPr="005B5646">
        <w:rPr>
          <w:rFonts w:hint="eastAsia"/>
        </w:rPr>
        <w:t>tween two variables, often deno</w:t>
      </w:r>
      <w:r>
        <w:rPr>
          <w:rFonts w:hint="eastAsia"/>
        </w:rPr>
        <w:t>te</w:t>
      </w:r>
      <w:r>
        <w:t xml:space="preserve">d </w:t>
      </w:r>
      <w:r w:rsidRPr="005B5646">
        <w:rPr>
          <w:rFonts w:hint="eastAsia"/>
        </w:rPr>
        <w:t xml:space="preserve">by the lowercase English letter 'r'. In terms </w:t>
      </w:r>
      <w:r>
        <w:t>of t</w:t>
      </w:r>
      <w:r w:rsidRPr="005B5646">
        <w:rPr>
          <w:rFonts w:hint="eastAsia"/>
        </w:rPr>
        <w:t>he magnitude of the correl</w:t>
      </w:r>
      <w:r>
        <w:rPr>
          <w:rFonts w:hint="eastAsia"/>
        </w:rPr>
        <w:t>at</w:t>
      </w:r>
      <w:r w:rsidRPr="005B5646">
        <w:rPr>
          <w:rFonts w:hint="eastAsia"/>
        </w:rPr>
        <w:t xml:space="preserve">ion coefficient, it can be divided into two types: </w:t>
      </w:r>
      <w:r>
        <w:rPr>
          <w:rFonts w:hint="eastAsia"/>
        </w:rPr>
        <w:t>Ty</w:t>
      </w:r>
      <w:r>
        <w:t>pe</w:t>
      </w:r>
      <w:r w:rsidRPr="005B5646">
        <w:rPr>
          <w:rFonts w:hint="eastAsia"/>
        </w:rPr>
        <w:t xml:space="preserve"> A correlation coefficients, with a range b</w:t>
      </w:r>
      <w:r>
        <w:rPr>
          <w:rFonts w:hint="eastAsia"/>
        </w:rPr>
        <w:t>et</w:t>
      </w:r>
      <w:r w:rsidRPr="00654F72">
        <w:rPr>
          <w:rFonts w:hint="eastAsia"/>
        </w:rPr>
        <w:t xml:space="preserve">ween 0 and 1; and Type B correlation coefficients, with a range between -1 and 1. The sign indicates whether the </w:t>
      </w:r>
      <w:r w:rsidRPr="00654F72">
        <w:rPr>
          <w:rFonts w:hint="eastAsia"/>
        </w:rPr>
        <w:lastRenderedPageBreak/>
        <w:t xml:space="preserve">coefficient value is positive or negative; a positive value indicates a positive association between the two </w:t>
      </w:r>
      <w:r>
        <w:rPr>
          <w:rFonts w:hint="eastAsia"/>
        </w:rPr>
        <w:t>vari</w:t>
      </w:r>
      <w:r w:rsidRPr="00654F72">
        <w:rPr>
          <w:rFonts w:hint="eastAsia"/>
        </w:rPr>
        <w:t>ables (e.g., as one vari</w:t>
      </w:r>
      <w:r>
        <w:t>ab</w:t>
      </w:r>
      <w:r w:rsidRPr="00654F72">
        <w:rPr>
          <w:rFonts w:hint="eastAsia"/>
        </w:rPr>
        <w:t>le incre</w:t>
      </w:r>
      <w:r>
        <w:rPr>
          <w:rFonts w:hint="eastAsia"/>
        </w:rPr>
        <w:t>ases</w:t>
      </w:r>
      <w:r w:rsidRPr="00654F72">
        <w:rPr>
          <w:rFonts w:hint="eastAsia"/>
        </w:rPr>
        <w:t>, the other als</w:t>
      </w:r>
      <w:r>
        <w:rPr>
          <w:rFonts w:hint="eastAsia"/>
        </w:rPr>
        <w:t>o in</w:t>
      </w:r>
      <w:r w:rsidRPr="00654F72">
        <w:rPr>
          <w:rFonts w:hint="eastAsia"/>
        </w:rPr>
        <w:t>creases; or as one var</w:t>
      </w:r>
      <w:r>
        <w:rPr>
          <w:rFonts w:hint="eastAsia"/>
        </w:rPr>
        <w:t>iabl</w:t>
      </w:r>
      <w:r w:rsidRPr="00654F72">
        <w:rPr>
          <w:rFonts w:hint="eastAsia"/>
        </w:rPr>
        <w:t>e decreases, th</w:t>
      </w:r>
      <w:r>
        <w:rPr>
          <w:rFonts w:hint="eastAsia"/>
        </w:rPr>
        <w:t>e ot</w:t>
      </w:r>
      <w:r w:rsidRPr="00654F72">
        <w:rPr>
          <w:rFonts w:hint="eastAsia"/>
        </w:rPr>
        <w:t>her also decr</w:t>
      </w:r>
      <w:r>
        <w:rPr>
          <w:rFonts w:hint="eastAsia"/>
        </w:rPr>
        <w:t>ea</w:t>
      </w:r>
      <w:r w:rsidRPr="00654F72">
        <w:rPr>
          <w:rFonts w:hint="eastAsia"/>
        </w:rPr>
        <w:t>ses), known as 'positive correl</w:t>
      </w:r>
      <w:r>
        <w:rPr>
          <w:rFonts w:hint="eastAsia"/>
        </w:rPr>
        <w:t>at</w:t>
      </w:r>
      <w:r w:rsidRPr="00654F72">
        <w:rPr>
          <w:rFonts w:hint="eastAsia"/>
        </w:rPr>
        <w:t xml:space="preserve">ion'; a negative value indicates an inverse </w:t>
      </w:r>
      <w:r>
        <w:t>as</w:t>
      </w:r>
      <w:r w:rsidRPr="00654F72">
        <w:rPr>
          <w:rFonts w:hint="eastAsia"/>
        </w:rPr>
        <w:t>sociation between</w:t>
      </w:r>
      <w:r>
        <w:rPr>
          <w:rFonts w:hint="eastAsia"/>
        </w:rPr>
        <w:t xml:space="preserve"> the</w:t>
      </w:r>
      <w:r w:rsidRPr="00654F72">
        <w:rPr>
          <w:rFonts w:hint="eastAsia"/>
        </w:rPr>
        <w:t xml:space="preserve"> two variables (e.g., as</w:t>
      </w:r>
      <w:r>
        <w:rPr>
          <w:rFonts w:hint="eastAsia"/>
        </w:rPr>
        <w:t xml:space="preserve"> o</w:t>
      </w:r>
      <w:r>
        <w:t>ne</w:t>
      </w:r>
      <w:r w:rsidRPr="00654F72">
        <w:rPr>
          <w:rFonts w:hint="eastAsia"/>
        </w:rPr>
        <w:t xml:space="preserve"> variabl</w:t>
      </w:r>
      <w:r>
        <w:rPr>
          <w:rFonts w:hint="eastAsia"/>
        </w:rPr>
        <w:t>e in</w:t>
      </w:r>
      <w:r w:rsidRPr="00654F72">
        <w:rPr>
          <w:rFonts w:hint="eastAsia"/>
        </w:rPr>
        <w:t>creases, the ot</w:t>
      </w:r>
      <w:r>
        <w:rPr>
          <w:rFonts w:hint="eastAsia"/>
        </w:rPr>
        <w:t xml:space="preserve">her </w:t>
      </w:r>
      <w:r w:rsidRPr="00654F72">
        <w:rPr>
          <w:rFonts w:hint="eastAsia"/>
        </w:rPr>
        <w:t>decreases; or as one v</w:t>
      </w:r>
      <w:r>
        <w:rPr>
          <w:rFonts w:hint="eastAsia"/>
        </w:rPr>
        <w:t>aria</w:t>
      </w:r>
      <w:r w:rsidRPr="00654F72">
        <w:rPr>
          <w:rFonts w:hint="eastAsia"/>
        </w:rPr>
        <w:t xml:space="preserve">ble decreases, </w:t>
      </w:r>
      <w:r>
        <w:rPr>
          <w:rFonts w:hint="eastAsia"/>
        </w:rPr>
        <w:t xml:space="preserve">the </w:t>
      </w:r>
      <w:r w:rsidRPr="00654F72">
        <w:rPr>
          <w:rFonts w:hint="eastAsia"/>
        </w:rPr>
        <w:t>other increas</w:t>
      </w:r>
      <w:r>
        <w:rPr>
          <w:rFonts w:hint="eastAsia"/>
        </w:rPr>
        <w:t>es</w:t>
      </w:r>
      <w:r w:rsidRPr="00654F72">
        <w:rPr>
          <w:rFonts w:hint="eastAsia"/>
        </w:rPr>
        <w:t>), known as 'negative correlati</w:t>
      </w:r>
      <w:r>
        <w:t>on</w:t>
      </w:r>
      <w:r>
        <w:rPr>
          <w:rFonts w:hint="eastAsia"/>
        </w:rPr>
        <w:t xml:space="preserve">' </w:t>
      </w:r>
      <w:r w:rsidRPr="00654F72">
        <w:rPr>
          <w:rFonts w:hint="eastAsia"/>
        </w:rPr>
        <w:t>(Yu, 2000). The strength of the correlation,</w:t>
      </w:r>
      <w:r>
        <w:t xml:space="preserve"> a</w:t>
      </w:r>
      <w:r>
        <w:rPr>
          <w:rFonts w:hint="eastAsia"/>
        </w:rPr>
        <w:t>cc</w:t>
      </w:r>
      <w:r>
        <w:t>or</w:t>
      </w:r>
      <w:r w:rsidRPr="00F90910">
        <w:rPr>
          <w:rFonts w:hint="eastAsia"/>
        </w:rPr>
        <w:t>ding t</w:t>
      </w:r>
      <w:r>
        <w:rPr>
          <w:rFonts w:hint="eastAsia"/>
        </w:rPr>
        <w:t xml:space="preserve">o </w:t>
      </w:r>
      <w:r>
        <w:t>the Pearson</w:t>
      </w:r>
      <w:r>
        <w:rPr>
          <w:rFonts w:hint="eastAsia"/>
        </w:rPr>
        <w:t xml:space="preserve"> Product-Moment Correlation Coefficient, is as</w:t>
      </w:r>
      <w:r>
        <w:rPr>
          <w:rFonts w:ascii="Cambria Math" w:hAnsi="Cambria Math" w:hint="eastAsia"/>
          <w:lang w:eastAsia="zh-CN"/>
        </w:rPr>
        <w:t xml:space="preserve"> f</w:t>
      </w:r>
      <w:r>
        <w:rPr>
          <w:rFonts w:hint="eastAsia"/>
        </w:rPr>
        <w:t>ol</w:t>
      </w:r>
      <w:r>
        <w:rPr>
          <w:rFonts w:ascii="Cambria Math" w:hAnsi="Cambria Math" w:hint="eastAsia"/>
          <w:lang w:eastAsia="zh-CN"/>
        </w:rPr>
        <w:t>lo</w:t>
      </w:r>
      <w:r>
        <w:t>ws: |r</w:t>
      </w:r>
      <w:r>
        <w:rPr>
          <w:rFonts w:hint="eastAsia"/>
        </w:rPr>
        <w:t>| = 1 indicates</w:t>
      </w:r>
      <w:r>
        <w:rPr>
          <w:rFonts w:ascii="Cambria Math" w:hAnsi="Cambria Math" w:hint="eastAsia"/>
          <w:lang w:eastAsia="zh-CN"/>
        </w:rPr>
        <w:t xml:space="preserve"> p</w:t>
      </w:r>
      <w:r>
        <w:rPr>
          <w:rFonts w:hint="eastAsia"/>
        </w:rPr>
        <w:t>er</w:t>
      </w:r>
      <w:r>
        <w:rPr>
          <w:rFonts w:ascii="Cambria Math" w:hAnsi="Cambria Math" w:hint="eastAsia"/>
          <w:lang w:eastAsia="zh-CN"/>
        </w:rPr>
        <w:t>fe</w:t>
      </w:r>
      <w:r>
        <w:t>ct c</w:t>
      </w:r>
      <w:r w:rsidRPr="00F037BB">
        <w:rPr>
          <w:rFonts w:hint="eastAsia"/>
        </w:rPr>
        <w:t>orrela</w:t>
      </w:r>
      <w:r>
        <w:t>tion, |r| =</w:t>
      </w:r>
      <w:r w:rsidRPr="00F037BB">
        <w:rPr>
          <w:rFonts w:hint="eastAsia"/>
        </w:rPr>
        <w:t xml:space="preserve"> 0.7-0.99 i</w:t>
      </w:r>
      <w:r>
        <w:rPr>
          <w:rFonts w:hint="eastAsia"/>
        </w:rPr>
        <w:t>nd</w:t>
      </w:r>
      <w:r>
        <w:rPr>
          <w:rFonts w:ascii="Cambria Math" w:hAnsi="Cambria Math" w:hint="eastAsia"/>
          <w:lang w:eastAsia="zh-CN"/>
        </w:rPr>
        <w:t>ic</w:t>
      </w:r>
      <w:r>
        <w:rPr>
          <w:rFonts w:hint="eastAsia"/>
        </w:rPr>
        <w:t>at</w:t>
      </w:r>
      <w:r>
        <w:rPr>
          <w:rFonts w:ascii="Cambria Math" w:hAnsi="Cambria Math" w:hint="eastAsia"/>
          <w:lang w:eastAsia="zh-CN"/>
        </w:rPr>
        <w:t>es</w:t>
      </w:r>
      <w:r>
        <w:t xml:space="preserve"> high correlation, |r| =</w:t>
      </w:r>
      <w:r>
        <w:rPr>
          <w:rFonts w:hint="eastAsia"/>
        </w:rPr>
        <w:t xml:space="preserve"> 0.40-0.69 in</w:t>
      </w:r>
      <w:r>
        <w:rPr>
          <w:rFonts w:ascii="Cambria Math" w:hAnsi="Cambria Math" w:hint="eastAsia"/>
          <w:lang w:eastAsia="zh-CN"/>
        </w:rPr>
        <w:t>di</w:t>
      </w:r>
      <w:r>
        <w:rPr>
          <w:rFonts w:hint="eastAsia"/>
        </w:rPr>
        <w:t>ca</w:t>
      </w:r>
      <w:r>
        <w:rPr>
          <w:rFonts w:ascii="Cambria Math" w:hAnsi="Cambria Math" w:hint="eastAsia"/>
          <w:lang w:eastAsia="zh-CN"/>
        </w:rPr>
        <w:t>te</w:t>
      </w:r>
      <w:r>
        <w:t xml:space="preserve">s moderate correlation, </w:t>
      </w:r>
      <w:r>
        <w:rPr>
          <w:rFonts w:hint="eastAsia"/>
        </w:rPr>
        <w:t>|r| = 0.10-0.</w:t>
      </w:r>
      <w:r>
        <w:rPr>
          <w:rFonts w:ascii="Cambria Math" w:hAnsi="Cambria Math" w:hint="eastAsia"/>
          <w:lang w:eastAsia="zh-CN"/>
        </w:rPr>
        <w:t>39</w:t>
      </w:r>
      <w:r>
        <w:rPr>
          <w:rFonts w:hint="eastAsia"/>
        </w:rPr>
        <w:t xml:space="preserve"> i</w:t>
      </w:r>
      <w:r>
        <w:rPr>
          <w:rFonts w:ascii="Cambria Math" w:hAnsi="Cambria Math" w:hint="eastAsia"/>
          <w:lang w:eastAsia="zh-CN"/>
        </w:rPr>
        <w:t>nd</w:t>
      </w:r>
      <w:r>
        <w:t>icates low co</w:t>
      </w:r>
      <w:r>
        <w:rPr>
          <w:rFonts w:hint="eastAsia"/>
        </w:rPr>
        <w:t>rrelation, |r| &lt; 0.10 indicates very weak or no correlation.</w:t>
      </w:r>
    </w:p>
    <w:p w14:paraId="117FBEB3" w14:textId="67BCDEBB" w:rsidR="00D22BB0" w:rsidRDefault="00474EF8" w:rsidP="00474EF8">
      <w:pPr>
        <w:pStyle w:val="a0"/>
      </w:pPr>
      <w:r>
        <w:rPr>
          <w:rFonts w:hint="eastAsia"/>
        </w:rPr>
        <w:t>The foll</w:t>
      </w:r>
      <w:r>
        <w:t xml:space="preserve">owing </w:t>
      </w:r>
      <w:r w:rsidR="00612B00">
        <w:t xml:space="preserve">Figure </w:t>
      </w:r>
      <w:r w:rsidR="000D02C5">
        <w:t>7</w:t>
      </w:r>
      <w:r>
        <w:rPr>
          <w:rFonts w:hint="eastAsia"/>
        </w:rPr>
        <w:t xml:space="preserve"> is a visualization of the correlation coefficients</w:t>
      </w:r>
      <w:r>
        <w:t xml:space="preserve"> between the life insura</w:t>
      </w:r>
      <w:r>
        <w:rPr>
          <w:rFonts w:hint="eastAsia"/>
        </w:rPr>
        <w:t>nce solvency ratio (RBC) and the nine risk factor independent variables of financial holding companies, showing the directional relationships and strength of change between variables. The closer to 1 or -1, the stron</w:t>
      </w:r>
      <w:r>
        <w:t xml:space="preserve">ger </w:t>
      </w:r>
      <w:r>
        <w:rPr>
          <w:rFonts w:hint="eastAsia"/>
        </w:rPr>
        <w:t xml:space="preserve">the </w:t>
      </w:r>
      <w:r>
        <w:t>correlat</w:t>
      </w:r>
      <w:r>
        <w:rPr>
          <w:rFonts w:hint="eastAsia"/>
        </w:rPr>
        <w:t xml:space="preserve">ion, but it does not indicate whether the relationship between variables is significant. </w:t>
      </w:r>
    </w:p>
    <w:p w14:paraId="27061917" w14:textId="77777777" w:rsidR="00474EF8" w:rsidRDefault="00474EF8" w:rsidP="00474EF8">
      <w:pPr>
        <w:ind w:firstLine="480"/>
        <w:rPr>
          <w:noProof/>
        </w:rPr>
      </w:pPr>
      <w:r>
        <w:rPr>
          <w:noProof/>
        </w:rPr>
        <w:drawing>
          <wp:inline distT="0" distB="0" distL="0" distR="0" wp14:anchorId="10B1A630" wp14:editId="153282C3">
            <wp:extent cx="5400040" cy="3725839"/>
            <wp:effectExtent l="0" t="0" r="0" b="8255"/>
            <wp:docPr id="19"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9"/>
                    <pic:cNvPicPr/>
                  </pic:nvPicPr>
                  <pic:blipFill rotWithShape="1">
                    <a:blip r:embed="rId15" cstate="print">
                      <a:extLst>
                        <a:ext uri="{28A0092B-C50C-407E-A947-70E740481C1C}">
                          <a14:useLocalDpi xmlns:a14="http://schemas.microsoft.com/office/drawing/2010/main" val="0"/>
                        </a:ext>
                      </a:extLst>
                    </a:blip>
                    <a:srcRect t="907"/>
                    <a:stretch/>
                  </pic:blipFill>
                  <pic:spPr bwMode="auto">
                    <a:xfrm>
                      <a:off x="0" y="0"/>
                      <a:ext cx="5404284" cy="3728767"/>
                    </a:xfrm>
                    <a:prstGeom prst="rect">
                      <a:avLst/>
                    </a:prstGeom>
                    <a:ln>
                      <a:noFill/>
                    </a:ln>
                    <a:extLst>
                      <a:ext uri="{53640926-AAD7-44D8-BBD7-CCE9431645EC}">
                        <a14:shadowObscured xmlns:a14="http://schemas.microsoft.com/office/drawing/2010/main"/>
                      </a:ext>
                    </a:extLst>
                  </pic:spPr>
                </pic:pic>
              </a:graphicData>
            </a:graphic>
          </wp:inline>
        </w:drawing>
      </w:r>
    </w:p>
    <w:p w14:paraId="2FFD3D4E" w14:textId="10873783" w:rsidR="00474EF8" w:rsidRDefault="00612B00" w:rsidP="00474EF8">
      <w:pPr>
        <w:pStyle w:val="a6"/>
        <w:ind w:firstLine="480"/>
      </w:pPr>
      <w:bookmarkStart w:id="29" w:name="_Toc113394933"/>
      <w:r>
        <w:rPr>
          <w:rFonts w:hint="eastAsia"/>
        </w:rPr>
        <w:t xml:space="preserve">Figure </w:t>
      </w:r>
      <w:r w:rsidR="000D02C5">
        <w:t>7</w:t>
      </w:r>
      <w:r w:rsidR="00474EF8">
        <w:rPr>
          <w:rFonts w:hint="eastAsia"/>
        </w:rPr>
        <w:t xml:space="preserve"> Correlation Plot of Various Variables</w:t>
      </w:r>
      <w:r w:rsidR="00474EF8">
        <w:fldChar w:fldCharType="begin"/>
      </w:r>
      <w:r w:rsidR="00474EF8">
        <w:instrText xml:space="preserve"> </w:instrText>
      </w:r>
      <w:r w:rsidR="00474EF8">
        <w:rPr>
          <w:rFonts w:hint="eastAsia"/>
        </w:rPr>
        <w:instrText xml:space="preserve">SEQ </w:instrText>
      </w:r>
      <w:r w:rsidR="00474EF8">
        <w:rPr>
          <w:rFonts w:hint="eastAsia"/>
        </w:rPr>
        <w:instrText>圖</w:instrText>
      </w:r>
      <w:r w:rsidR="00474EF8">
        <w:rPr>
          <w:rFonts w:hint="eastAsia"/>
        </w:rPr>
        <w:instrText>4. \* ARABIC</w:instrText>
      </w:r>
      <w:r w:rsidR="00474EF8">
        <w:instrText xml:space="preserve"> </w:instrText>
      </w:r>
      <w:r w:rsidR="00000000">
        <w:fldChar w:fldCharType="separate"/>
      </w:r>
      <w:r w:rsidR="00474EF8">
        <w:fldChar w:fldCharType="end"/>
      </w:r>
      <w:bookmarkEnd w:id="29"/>
    </w:p>
    <w:p w14:paraId="2125AAC9" w14:textId="4CE7461E" w:rsidR="00474EF8" w:rsidRDefault="005376CF" w:rsidP="00474EF8">
      <w:pPr>
        <w:pStyle w:val="a0"/>
      </w:pPr>
      <w:r>
        <w:rPr>
          <w:rFonts w:hint="eastAsia"/>
        </w:rPr>
        <w:t>Table 2</w:t>
      </w:r>
      <w:r w:rsidR="00D22BB0">
        <w:rPr>
          <w:rFonts w:hint="eastAsia"/>
        </w:rPr>
        <w:t xml:space="preserve"> adds signi</w:t>
      </w:r>
      <w:r w:rsidR="00D22BB0">
        <w:t>ficance test</w:t>
      </w:r>
      <w:r w:rsidR="00D22BB0">
        <w:rPr>
          <w:rFonts w:hint="eastAsia"/>
        </w:rPr>
        <w:t xml:space="preserve">ing to the correlation coefficients to show whether </w:t>
      </w:r>
      <w:r w:rsidR="00D22BB0">
        <w:rPr>
          <w:rFonts w:hint="eastAsia"/>
        </w:rPr>
        <w:lastRenderedPageBreak/>
        <w:t>the relationships between variables are significant.</w:t>
      </w:r>
      <w:r w:rsidR="00D22BB0">
        <w:t xml:space="preserve"> </w:t>
      </w:r>
      <w:r w:rsidR="0052127E">
        <w:t>It</w:t>
      </w:r>
      <w:r w:rsidR="00474EF8">
        <w:t xml:space="preserve"> shows a</w:t>
      </w:r>
      <w:r w:rsidR="00474EF8">
        <w:rPr>
          <w:rFonts w:hint="eastAsia"/>
        </w:rPr>
        <w:t xml:space="preserve"> significant positive correlation between the life insurance solvency ratio a</w:t>
      </w:r>
      <w:r w:rsidR="00474EF8" w:rsidRPr="00CF0A02">
        <w:rPr>
          <w:rFonts w:hint="eastAsia"/>
        </w:rPr>
        <w:t>nd the Price-to-B</w:t>
      </w:r>
      <w:r w:rsidR="00474EF8">
        <w:rPr>
          <w:rFonts w:hint="eastAsia"/>
        </w:rPr>
        <w:t>ook</w:t>
      </w:r>
      <w:r w:rsidR="00474EF8" w:rsidRPr="00CF0A02">
        <w:rPr>
          <w:rFonts w:hint="eastAsia"/>
        </w:rPr>
        <w:t xml:space="preserve"> ratio (PB) an</w:t>
      </w:r>
      <w:r w:rsidR="00474EF8">
        <w:rPr>
          <w:rFonts w:hint="eastAsia"/>
        </w:rPr>
        <w:t>d Interest Expense Ratio</w:t>
      </w:r>
      <w:r w:rsidR="00474EF8">
        <w:t xml:space="preserve"> (INT) of financial h</w:t>
      </w:r>
      <w:r w:rsidR="00474EF8">
        <w:rPr>
          <w:rFonts w:hint="eastAsia"/>
        </w:rPr>
        <w:t>olding companies. This indicates that as the life insurance solvency ratio increases, investors are willing to pay a premium for the financial holding company's stock, but the financial holding company's interest expense as a percentage of revenue is higher.</w:t>
      </w:r>
    </w:p>
    <w:p w14:paraId="3D15A581" w14:textId="77777777" w:rsidR="00474EF8" w:rsidRDefault="00474EF8" w:rsidP="00474EF8">
      <w:pPr>
        <w:pStyle w:val="a0"/>
      </w:pPr>
      <w:r>
        <w:rPr>
          <w:rFonts w:hint="eastAsia"/>
        </w:rPr>
        <w:t>The stock investment return (</w:t>
      </w:r>
      <w:proofErr w:type="spellStart"/>
      <w:r>
        <w:rPr>
          <w:rFonts w:hint="eastAsia"/>
        </w:rPr>
        <w:t>Stk</w:t>
      </w:r>
      <w:proofErr w:type="spellEnd"/>
      <w:r w:rsidRPr="00CF0A02">
        <w:rPr>
          <w:rFonts w:hint="eastAsia"/>
        </w:rPr>
        <w:t>) and the Interest E</w:t>
      </w:r>
      <w:r>
        <w:t>xpen</w:t>
      </w:r>
      <w:r>
        <w:rPr>
          <w:rFonts w:hint="eastAsia"/>
        </w:rPr>
        <w:t>se R</w:t>
      </w:r>
      <w:r w:rsidRPr="00CF0A02">
        <w:rPr>
          <w:rFonts w:hint="eastAsia"/>
        </w:rPr>
        <w:t>atio (INT) have a si</w:t>
      </w:r>
      <w:r>
        <w:rPr>
          <w:rFonts w:hint="eastAsia"/>
        </w:rPr>
        <w:t>gnif</w:t>
      </w:r>
      <w:r w:rsidRPr="00CF0A02">
        <w:rPr>
          <w:rFonts w:hint="eastAsia"/>
        </w:rPr>
        <w:t>icant negative corre</w:t>
      </w:r>
      <w:r>
        <w:t>lati</w:t>
      </w:r>
      <w:r>
        <w:rPr>
          <w:rFonts w:hint="eastAsia"/>
        </w:rPr>
        <w:t>on, indicating that when the stock investment return is higher, the interest expense as a percentage of revenue is lower, and the fina</w:t>
      </w:r>
      <w:r>
        <w:rPr>
          <w:rFonts w:ascii="Apple Color Emoji" w:hAnsi="Apple Color Emoji" w:cs="Apple Color Emoji" w:hint="eastAsia"/>
        </w:rPr>
        <w:t>ncia</w:t>
      </w:r>
      <w:r>
        <w:rPr>
          <w:rFonts w:hint="eastAsia"/>
        </w:rPr>
        <w:t>l holding company has a better ability to make timely interest payments.</w:t>
      </w:r>
    </w:p>
    <w:p w14:paraId="027B2075" w14:textId="77777777" w:rsidR="00474EF8" w:rsidRDefault="00474EF8" w:rsidP="00474EF8">
      <w:pPr>
        <w:pStyle w:val="a0"/>
      </w:pPr>
      <w:r>
        <w:rPr>
          <w:rFonts w:hint="eastAsia"/>
        </w:rPr>
        <w:t>The stock risk coefficien</w:t>
      </w:r>
      <w:r>
        <w:t>t (Beta) and the Price-to-</w:t>
      </w:r>
      <w:r>
        <w:rPr>
          <w:rFonts w:hint="eastAsia"/>
        </w:rPr>
        <w:t>Boo</w:t>
      </w:r>
      <w:r w:rsidRPr="00CF0A02">
        <w:rPr>
          <w:rFonts w:hint="eastAsia"/>
        </w:rPr>
        <w:t>k ratio (PB) and I</w:t>
      </w:r>
      <w:r>
        <w:rPr>
          <w:rFonts w:hint="eastAsia"/>
        </w:rPr>
        <w:t>nte</w:t>
      </w:r>
      <w:r w:rsidRPr="00CF0A02">
        <w:rPr>
          <w:rFonts w:hint="eastAsia"/>
        </w:rPr>
        <w:t>rest Expense Ratio (INT) show a sign</w:t>
      </w:r>
      <w:r>
        <w:rPr>
          <w:rFonts w:hint="eastAsia"/>
        </w:rPr>
        <w:t>ifi</w:t>
      </w:r>
      <w:r w:rsidRPr="00CF0A02">
        <w:rPr>
          <w:rFonts w:hint="eastAsia"/>
        </w:rPr>
        <w:t>cant negative corr</w:t>
      </w:r>
      <w:r>
        <w:t>ela</w:t>
      </w:r>
      <w:r>
        <w:rPr>
          <w:rFonts w:hint="eastAsia"/>
        </w:rPr>
        <w:t>tion. This implies that when the financial holding company's stock risk coefficient is larger and more affected by market volatility, investors are willing to purchase the stock at an amount below the financial holding company's book value, and the company's interest expense ratio is also at a lower level during this time, with a higher probability of making timely interest payments.</w:t>
      </w:r>
    </w:p>
    <w:p w14:paraId="5330E9A4" w14:textId="77777777" w:rsidR="001E0ABA" w:rsidRPr="00DE6038" w:rsidRDefault="001E0ABA" w:rsidP="001E0ABA">
      <w:pPr>
        <w:pStyle w:val="a0"/>
      </w:pPr>
      <w:r w:rsidRPr="00CF0A02">
        <w:rPr>
          <w:rFonts w:hint="eastAsia"/>
        </w:rPr>
        <w:t>The Interest Exp</w:t>
      </w:r>
      <w:r>
        <w:rPr>
          <w:rFonts w:hint="eastAsia"/>
        </w:rPr>
        <w:t>ens</w:t>
      </w:r>
      <w:r w:rsidRPr="00CF0A02">
        <w:rPr>
          <w:rFonts w:hint="eastAsia"/>
        </w:rPr>
        <w:t>e Ratio (INT) sh</w:t>
      </w:r>
      <w:r>
        <w:t>ows</w:t>
      </w:r>
      <w:r>
        <w:rPr>
          <w:rFonts w:hint="eastAsia"/>
        </w:rPr>
        <w:t xml:space="preserve"> a </w:t>
      </w:r>
      <w:r w:rsidRPr="00CF0A02">
        <w:rPr>
          <w:rFonts w:hint="eastAsia"/>
        </w:rPr>
        <w:t>significant nega</w:t>
      </w:r>
      <w:r>
        <w:rPr>
          <w:rFonts w:hint="eastAsia"/>
        </w:rPr>
        <w:t>tiv</w:t>
      </w:r>
      <w:r w:rsidRPr="00CF0A02">
        <w:rPr>
          <w:rFonts w:hint="eastAsia"/>
        </w:rPr>
        <w:t>e correlation with Return on Assets (ROA)</w:t>
      </w:r>
      <w:r>
        <w:rPr>
          <w:rFonts w:hint="eastAsia"/>
        </w:rPr>
        <w:t>, R</w:t>
      </w:r>
      <w:r w:rsidRPr="00CF0A02">
        <w:rPr>
          <w:rFonts w:hint="eastAsia"/>
        </w:rPr>
        <w:t xml:space="preserve">eturn on Equity </w:t>
      </w:r>
      <w:r>
        <w:t>(RO</w:t>
      </w:r>
      <w:r>
        <w:rPr>
          <w:rFonts w:hint="eastAsia"/>
        </w:rPr>
        <w:t>E), and Company Size (</w:t>
      </w:r>
      <w:r w:rsidRPr="00DE6038">
        <w:rPr>
          <w:rFonts w:hint="eastAsia"/>
        </w:rPr>
        <w:t xml:space="preserve">Size). This </w:t>
      </w:r>
      <w:r w:rsidRPr="00DE6038">
        <w:t>indica</w:t>
      </w:r>
      <w:r w:rsidRPr="00DE6038">
        <w:rPr>
          <w:rFonts w:hint="eastAsia"/>
        </w:rPr>
        <w:t>tes that when the financial holding company's interest expense as a percentage of revenue is higher, the company's operational efficiency is poorer, and its size is smaller.</w:t>
      </w:r>
    </w:p>
    <w:p w14:paraId="1B7ADB04" w14:textId="16801378" w:rsidR="001E0ABA" w:rsidRDefault="001E0ABA" w:rsidP="001E0ABA">
      <w:pPr>
        <w:pStyle w:val="a0"/>
      </w:pPr>
      <w:r w:rsidRPr="00CF0A02">
        <w:rPr>
          <w:rFonts w:hint="eastAsia"/>
        </w:rPr>
        <w:t xml:space="preserve">Return on Assets </w:t>
      </w:r>
      <w:r>
        <w:rPr>
          <w:rFonts w:hint="eastAsia"/>
        </w:rPr>
        <w:t>(RO</w:t>
      </w:r>
      <w:r w:rsidRPr="00CF0A02">
        <w:rPr>
          <w:rFonts w:hint="eastAsia"/>
        </w:rPr>
        <w:t>A) and Debt Ratio</w:t>
      </w:r>
      <w:r>
        <w:t xml:space="preserve"> sh</w:t>
      </w:r>
      <w:r>
        <w:rPr>
          <w:rFonts w:hint="eastAsia"/>
        </w:rPr>
        <w:t xml:space="preserve">ow </w:t>
      </w:r>
      <w:r w:rsidRPr="00CF0A02">
        <w:rPr>
          <w:rFonts w:hint="eastAsia"/>
        </w:rPr>
        <w:t>a significant neg</w:t>
      </w:r>
      <w:r>
        <w:rPr>
          <w:rFonts w:hint="eastAsia"/>
        </w:rPr>
        <w:t>ati</w:t>
      </w:r>
      <w:r w:rsidRPr="00CF0A02">
        <w:rPr>
          <w:rFonts w:hint="eastAsia"/>
        </w:rPr>
        <w:t>ve correlation, meaning that when a finan</w:t>
      </w:r>
      <w:r>
        <w:t>cia</w:t>
      </w:r>
      <w:r>
        <w:rPr>
          <w:rFonts w:hint="eastAsia"/>
        </w:rPr>
        <w:t>l holding company is more effective at utilizing assets for profit, its long-term solvency is not necessarily better. This is because the financial and insurance industry is a high financial leverage industry. Its primary profit model involves collecting deposits or premiums from bank depositors or insurance policyholders and then making reinvestments. Therefore, a portion of its assets comes from liabilities. If the financial and insurance industry has excessive liabilities, it could affect its long-term solvency.</w:t>
      </w:r>
    </w:p>
    <w:p w14:paraId="45B0B325" w14:textId="5BC7897B" w:rsidR="00474EF8" w:rsidRDefault="005376CF" w:rsidP="00DE6038">
      <w:pPr>
        <w:pStyle w:val="a2"/>
        <w:ind w:firstLine="480"/>
        <w:jc w:val="both"/>
      </w:pPr>
      <w:bookmarkStart w:id="30" w:name="_Toc113394918"/>
      <w:r>
        <w:rPr>
          <w:rFonts w:hint="eastAsia"/>
        </w:rPr>
        <w:lastRenderedPageBreak/>
        <w:t>Table 2</w:t>
      </w:r>
      <w:r w:rsidR="00474EF8">
        <w:rPr>
          <w:rFonts w:hint="eastAsia"/>
        </w:rPr>
        <w:t xml:space="preserve"> Correlation Test </w:t>
      </w:r>
      <w:proofErr w:type="gramStart"/>
      <w:r w:rsidR="00612B00">
        <w:rPr>
          <w:rFonts w:hint="eastAsia"/>
        </w:rPr>
        <w:t xml:space="preserve">Table </w:t>
      </w:r>
      <w:r w:rsidR="00474EF8">
        <w:rPr>
          <w:rFonts w:hint="eastAsia"/>
        </w:rPr>
        <w:t xml:space="preserve"> of</w:t>
      </w:r>
      <w:proofErr w:type="gramEnd"/>
      <w:r w:rsidR="00474EF8">
        <w:rPr>
          <w:rFonts w:hint="eastAsia"/>
        </w:rPr>
        <w:t xml:space="preserve"> Life Insurance Solvency Ratio and Financial Holding Company Risk Factors</w:t>
      </w:r>
      <w:r w:rsidR="00474EF8">
        <w:fldChar w:fldCharType="begin"/>
      </w:r>
      <w:r w:rsidR="00474EF8">
        <w:instrText xml:space="preserve"> </w:instrText>
      </w:r>
      <w:r w:rsidR="00474EF8">
        <w:rPr>
          <w:rFonts w:hint="eastAsia"/>
        </w:rPr>
        <w:instrText xml:space="preserve">SEQ </w:instrText>
      </w:r>
      <w:r w:rsidR="00474EF8">
        <w:rPr>
          <w:rFonts w:hint="eastAsia"/>
        </w:rPr>
        <w:instrText>表</w:instrText>
      </w:r>
      <w:r w:rsidR="00474EF8">
        <w:rPr>
          <w:rFonts w:hint="eastAsia"/>
        </w:rPr>
        <w:instrText>4. \* ARABIC</w:instrText>
      </w:r>
      <w:r w:rsidR="00474EF8">
        <w:instrText xml:space="preserve"> </w:instrText>
      </w:r>
      <w:r w:rsidR="00000000">
        <w:fldChar w:fldCharType="separate"/>
      </w:r>
      <w:r w:rsidR="00474EF8">
        <w:fldChar w:fldCharType="end"/>
      </w:r>
      <w:bookmarkEnd w:id="30"/>
    </w:p>
    <w:tbl>
      <w:tblPr>
        <w:tblStyle w:val="1"/>
        <w:tblW w:w="5000" w:type="pct"/>
        <w:tblLook w:val="04A0" w:firstRow="1" w:lastRow="0" w:firstColumn="1" w:lastColumn="0" w:noHBand="0" w:noVBand="1"/>
      </w:tblPr>
      <w:tblGrid>
        <w:gridCol w:w="726"/>
        <w:gridCol w:w="771"/>
        <w:gridCol w:w="828"/>
        <w:gridCol w:w="828"/>
        <w:gridCol w:w="689"/>
        <w:gridCol w:w="828"/>
        <w:gridCol w:w="828"/>
        <w:gridCol w:w="772"/>
        <w:gridCol w:w="727"/>
        <w:gridCol w:w="675"/>
        <w:gridCol w:w="624"/>
      </w:tblGrid>
      <w:tr w:rsidR="00D4192C" w:rsidRPr="00C73EBD" w14:paraId="3F1AA765" w14:textId="77777777" w:rsidTr="00D4192C">
        <w:trPr>
          <w:trHeight w:val="680"/>
        </w:trPr>
        <w:tc>
          <w:tcPr>
            <w:tcW w:w="438" w:type="pct"/>
            <w:noWrap/>
            <w:vAlign w:val="center"/>
            <w:hideMark/>
          </w:tcPr>
          <w:p w14:paraId="26D57EA4" w14:textId="77777777" w:rsidR="00474EF8" w:rsidRPr="00C73EBD" w:rsidRDefault="00474EF8" w:rsidP="00DE6038">
            <w:pPr>
              <w:ind w:firstLineChars="0" w:firstLine="0"/>
              <w:jc w:val="center"/>
            </w:pPr>
          </w:p>
        </w:tc>
        <w:tc>
          <w:tcPr>
            <w:tcW w:w="465" w:type="pct"/>
            <w:noWrap/>
            <w:vAlign w:val="center"/>
            <w:hideMark/>
          </w:tcPr>
          <w:p w14:paraId="67681824" w14:textId="77777777" w:rsidR="00474EF8" w:rsidRPr="00C73EBD" w:rsidRDefault="00474EF8" w:rsidP="00DE6038">
            <w:pPr>
              <w:ind w:firstLineChars="0" w:firstLine="0"/>
              <w:jc w:val="center"/>
              <w:rPr>
                <w:rFonts w:eastAsia="新細明體"/>
                <w:color w:val="000000"/>
                <w:sz w:val="22"/>
              </w:rPr>
            </w:pPr>
            <w:r w:rsidRPr="00C73EBD">
              <w:rPr>
                <w:rFonts w:eastAsia="新細明體" w:hint="eastAsia"/>
                <w:color w:val="000000"/>
                <w:sz w:val="22"/>
              </w:rPr>
              <w:t>RBC</w:t>
            </w:r>
          </w:p>
        </w:tc>
        <w:tc>
          <w:tcPr>
            <w:tcW w:w="499" w:type="pct"/>
            <w:noWrap/>
            <w:vAlign w:val="center"/>
            <w:hideMark/>
          </w:tcPr>
          <w:p w14:paraId="1F73109F" w14:textId="77777777" w:rsidR="00474EF8" w:rsidRPr="00C73EBD" w:rsidRDefault="00474EF8" w:rsidP="00DE6038">
            <w:pPr>
              <w:ind w:firstLineChars="0" w:firstLine="0"/>
              <w:jc w:val="center"/>
              <w:rPr>
                <w:rFonts w:eastAsia="新細明體"/>
                <w:color w:val="000000"/>
                <w:sz w:val="22"/>
              </w:rPr>
            </w:pPr>
            <w:proofErr w:type="spellStart"/>
            <w:r w:rsidRPr="00C73EBD">
              <w:rPr>
                <w:rFonts w:eastAsia="新細明體" w:hint="eastAsia"/>
                <w:color w:val="000000"/>
                <w:sz w:val="22"/>
              </w:rPr>
              <w:t>Stk</w:t>
            </w:r>
            <w:proofErr w:type="spellEnd"/>
          </w:p>
        </w:tc>
        <w:tc>
          <w:tcPr>
            <w:tcW w:w="499" w:type="pct"/>
            <w:noWrap/>
            <w:vAlign w:val="center"/>
            <w:hideMark/>
          </w:tcPr>
          <w:p w14:paraId="1C515AB0" w14:textId="77777777" w:rsidR="00474EF8" w:rsidRPr="00C73EBD" w:rsidRDefault="00474EF8" w:rsidP="00DE6038">
            <w:pPr>
              <w:ind w:firstLineChars="0" w:firstLine="0"/>
              <w:jc w:val="center"/>
              <w:rPr>
                <w:rFonts w:eastAsia="新細明體"/>
                <w:color w:val="000000"/>
                <w:sz w:val="22"/>
              </w:rPr>
            </w:pPr>
            <w:r w:rsidRPr="00C73EBD">
              <w:rPr>
                <w:rFonts w:eastAsia="新細明體" w:hint="eastAsia"/>
                <w:color w:val="000000"/>
                <w:sz w:val="22"/>
              </w:rPr>
              <w:t>Beta</w:t>
            </w:r>
          </w:p>
        </w:tc>
        <w:tc>
          <w:tcPr>
            <w:tcW w:w="415" w:type="pct"/>
            <w:noWrap/>
            <w:vAlign w:val="center"/>
            <w:hideMark/>
          </w:tcPr>
          <w:p w14:paraId="7810CAE1" w14:textId="77777777" w:rsidR="00474EF8" w:rsidRPr="00C73EBD" w:rsidRDefault="00474EF8" w:rsidP="00DE6038">
            <w:pPr>
              <w:ind w:firstLineChars="0" w:firstLine="0"/>
              <w:jc w:val="center"/>
              <w:rPr>
                <w:rFonts w:eastAsia="新細明體"/>
                <w:color w:val="000000"/>
                <w:sz w:val="22"/>
              </w:rPr>
            </w:pPr>
            <w:r w:rsidRPr="00C73EBD">
              <w:rPr>
                <w:rFonts w:eastAsia="新細明體" w:hint="eastAsia"/>
                <w:color w:val="000000"/>
                <w:sz w:val="22"/>
              </w:rPr>
              <w:t>PB</w:t>
            </w:r>
          </w:p>
        </w:tc>
        <w:tc>
          <w:tcPr>
            <w:tcW w:w="499" w:type="pct"/>
            <w:noWrap/>
            <w:vAlign w:val="center"/>
            <w:hideMark/>
          </w:tcPr>
          <w:p w14:paraId="37441BBD" w14:textId="77777777" w:rsidR="00474EF8" w:rsidRPr="00C73EBD" w:rsidRDefault="00474EF8" w:rsidP="00DE6038">
            <w:pPr>
              <w:ind w:firstLineChars="0" w:firstLine="0"/>
              <w:jc w:val="center"/>
              <w:rPr>
                <w:rFonts w:eastAsia="新細明體"/>
                <w:color w:val="000000"/>
                <w:sz w:val="22"/>
              </w:rPr>
            </w:pPr>
            <w:r w:rsidRPr="00C73EBD">
              <w:rPr>
                <w:rFonts w:eastAsia="新細明體" w:hint="eastAsia"/>
                <w:color w:val="000000"/>
                <w:sz w:val="22"/>
              </w:rPr>
              <w:t>INT</w:t>
            </w:r>
          </w:p>
        </w:tc>
        <w:tc>
          <w:tcPr>
            <w:tcW w:w="499" w:type="pct"/>
            <w:noWrap/>
            <w:vAlign w:val="center"/>
            <w:hideMark/>
          </w:tcPr>
          <w:p w14:paraId="4AE90132" w14:textId="77777777" w:rsidR="00474EF8" w:rsidRPr="00C73EBD" w:rsidRDefault="00474EF8" w:rsidP="00DE6038">
            <w:pPr>
              <w:ind w:firstLineChars="0" w:firstLine="0"/>
              <w:jc w:val="center"/>
              <w:rPr>
                <w:rFonts w:eastAsia="新細明體"/>
                <w:color w:val="000000"/>
                <w:sz w:val="22"/>
              </w:rPr>
            </w:pPr>
            <w:r w:rsidRPr="00C73EBD">
              <w:rPr>
                <w:rFonts w:eastAsia="新細明體" w:hint="eastAsia"/>
                <w:color w:val="000000"/>
                <w:sz w:val="22"/>
              </w:rPr>
              <w:t>ROA</w:t>
            </w:r>
          </w:p>
        </w:tc>
        <w:tc>
          <w:tcPr>
            <w:tcW w:w="465" w:type="pct"/>
            <w:noWrap/>
            <w:vAlign w:val="center"/>
            <w:hideMark/>
          </w:tcPr>
          <w:p w14:paraId="67DFA557" w14:textId="77777777" w:rsidR="00474EF8" w:rsidRPr="00C73EBD" w:rsidRDefault="00474EF8" w:rsidP="00DE6038">
            <w:pPr>
              <w:ind w:firstLineChars="0" w:firstLine="0"/>
              <w:jc w:val="center"/>
              <w:rPr>
                <w:rFonts w:eastAsia="新細明體"/>
                <w:color w:val="000000"/>
                <w:sz w:val="22"/>
              </w:rPr>
            </w:pPr>
            <w:r w:rsidRPr="00C73EBD">
              <w:rPr>
                <w:rFonts w:eastAsia="新細明體" w:hint="eastAsia"/>
                <w:color w:val="000000"/>
                <w:sz w:val="22"/>
              </w:rPr>
              <w:t>ROE</w:t>
            </w:r>
          </w:p>
        </w:tc>
        <w:tc>
          <w:tcPr>
            <w:tcW w:w="438" w:type="pct"/>
            <w:noWrap/>
            <w:vAlign w:val="center"/>
            <w:hideMark/>
          </w:tcPr>
          <w:p w14:paraId="09D6F411" w14:textId="77777777" w:rsidR="00474EF8" w:rsidRPr="00C73EBD" w:rsidRDefault="00474EF8" w:rsidP="00DE6038">
            <w:pPr>
              <w:ind w:firstLineChars="0" w:firstLine="0"/>
              <w:jc w:val="center"/>
              <w:rPr>
                <w:rFonts w:eastAsia="新細明體"/>
                <w:color w:val="000000"/>
                <w:sz w:val="22"/>
              </w:rPr>
            </w:pPr>
            <w:r w:rsidRPr="00C73EBD">
              <w:rPr>
                <w:rFonts w:eastAsia="新細明體" w:hint="eastAsia"/>
                <w:color w:val="000000"/>
                <w:sz w:val="22"/>
              </w:rPr>
              <w:t>YOY</w:t>
            </w:r>
          </w:p>
        </w:tc>
        <w:tc>
          <w:tcPr>
            <w:tcW w:w="407" w:type="pct"/>
            <w:vAlign w:val="center"/>
            <w:hideMark/>
          </w:tcPr>
          <w:p w14:paraId="4787731B" w14:textId="77777777" w:rsidR="00D4192C" w:rsidRDefault="00474EF8" w:rsidP="00DE6038">
            <w:pPr>
              <w:ind w:firstLineChars="0" w:firstLine="0"/>
              <w:jc w:val="center"/>
              <w:rPr>
                <w:rFonts w:eastAsia="新細明體"/>
                <w:color w:val="000000"/>
                <w:sz w:val="22"/>
              </w:rPr>
            </w:pPr>
            <w:r w:rsidRPr="00C73EBD">
              <w:rPr>
                <w:rFonts w:eastAsia="新細明體" w:hint="eastAsia"/>
                <w:color w:val="000000"/>
                <w:sz w:val="22"/>
              </w:rPr>
              <w:t>Debt</w:t>
            </w:r>
          </w:p>
          <w:p w14:paraId="165DF483" w14:textId="691DAFAD" w:rsidR="00474EF8" w:rsidRPr="00C73EBD" w:rsidRDefault="00474EF8" w:rsidP="00DE6038">
            <w:pPr>
              <w:ind w:firstLineChars="0" w:firstLine="0"/>
              <w:jc w:val="center"/>
              <w:rPr>
                <w:rFonts w:eastAsia="新細明體"/>
                <w:color w:val="000000"/>
                <w:sz w:val="22"/>
              </w:rPr>
            </w:pPr>
            <w:r w:rsidRPr="00C73EBD">
              <w:rPr>
                <w:rFonts w:eastAsia="新細明體" w:hint="eastAsia"/>
                <w:color w:val="000000"/>
                <w:sz w:val="22"/>
              </w:rPr>
              <w:t>ratio</w:t>
            </w:r>
          </w:p>
        </w:tc>
        <w:tc>
          <w:tcPr>
            <w:tcW w:w="376" w:type="pct"/>
            <w:noWrap/>
            <w:vAlign w:val="center"/>
            <w:hideMark/>
          </w:tcPr>
          <w:p w14:paraId="2D7A123E" w14:textId="77777777" w:rsidR="00474EF8" w:rsidRPr="00C73EBD" w:rsidRDefault="00474EF8" w:rsidP="00DE6038">
            <w:pPr>
              <w:ind w:firstLineChars="0" w:firstLine="0"/>
              <w:jc w:val="center"/>
              <w:rPr>
                <w:rFonts w:eastAsia="新細明體"/>
                <w:color w:val="000000"/>
                <w:sz w:val="22"/>
              </w:rPr>
            </w:pPr>
            <w:r w:rsidRPr="00C73EBD">
              <w:rPr>
                <w:rFonts w:eastAsia="新細明體" w:hint="eastAsia"/>
                <w:color w:val="000000"/>
                <w:sz w:val="22"/>
              </w:rPr>
              <w:t>Size</w:t>
            </w:r>
          </w:p>
        </w:tc>
      </w:tr>
      <w:tr w:rsidR="00D4192C" w:rsidRPr="00C73EBD" w14:paraId="6D1DE0AB" w14:textId="77777777" w:rsidTr="00D4192C">
        <w:trPr>
          <w:trHeight w:val="280"/>
        </w:trPr>
        <w:tc>
          <w:tcPr>
            <w:tcW w:w="438" w:type="pct"/>
            <w:noWrap/>
            <w:vAlign w:val="center"/>
            <w:hideMark/>
          </w:tcPr>
          <w:p w14:paraId="7C94A37B" w14:textId="77777777" w:rsidR="00474EF8" w:rsidRPr="00C73EBD" w:rsidRDefault="00474EF8" w:rsidP="00DE6038">
            <w:pPr>
              <w:ind w:firstLineChars="0" w:firstLine="0"/>
              <w:jc w:val="center"/>
              <w:rPr>
                <w:rFonts w:eastAsia="新細明體"/>
                <w:color w:val="000000"/>
                <w:sz w:val="22"/>
              </w:rPr>
            </w:pPr>
            <w:r w:rsidRPr="00C73EBD">
              <w:rPr>
                <w:rFonts w:eastAsia="新細明體" w:hint="eastAsia"/>
                <w:color w:val="000000"/>
                <w:sz w:val="22"/>
              </w:rPr>
              <w:t>RBC</w:t>
            </w:r>
          </w:p>
        </w:tc>
        <w:tc>
          <w:tcPr>
            <w:tcW w:w="465" w:type="pct"/>
            <w:noWrap/>
            <w:vAlign w:val="center"/>
            <w:hideMark/>
          </w:tcPr>
          <w:p w14:paraId="6D50A50F"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1.00</w:t>
            </w:r>
          </w:p>
        </w:tc>
        <w:tc>
          <w:tcPr>
            <w:tcW w:w="499" w:type="pct"/>
            <w:noWrap/>
            <w:vAlign w:val="center"/>
            <w:hideMark/>
          </w:tcPr>
          <w:p w14:paraId="49D9288F" w14:textId="77777777" w:rsidR="00474EF8" w:rsidRPr="00D4192C" w:rsidRDefault="00474EF8" w:rsidP="00DE6038">
            <w:pPr>
              <w:ind w:firstLineChars="0" w:firstLine="0"/>
              <w:rPr>
                <w:rFonts w:eastAsia="新細明體"/>
                <w:color w:val="000000"/>
                <w:sz w:val="16"/>
                <w:szCs w:val="16"/>
              </w:rPr>
            </w:pPr>
          </w:p>
        </w:tc>
        <w:tc>
          <w:tcPr>
            <w:tcW w:w="499" w:type="pct"/>
            <w:noWrap/>
            <w:vAlign w:val="center"/>
            <w:hideMark/>
          </w:tcPr>
          <w:p w14:paraId="2AF5D662" w14:textId="77777777" w:rsidR="00474EF8" w:rsidRPr="00D4192C" w:rsidRDefault="00474EF8" w:rsidP="00DE6038">
            <w:pPr>
              <w:ind w:firstLineChars="0" w:firstLine="0"/>
              <w:rPr>
                <w:sz w:val="16"/>
                <w:szCs w:val="16"/>
              </w:rPr>
            </w:pPr>
          </w:p>
        </w:tc>
        <w:tc>
          <w:tcPr>
            <w:tcW w:w="415" w:type="pct"/>
            <w:noWrap/>
            <w:vAlign w:val="center"/>
            <w:hideMark/>
          </w:tcPr>
          <w:p w14:paraId="342E3EAD" w14:textId="77777777" w:rsidR="00474EF8" w:rsidRPr="00D4192C" w:rsidRDefault="00474EF8" w:rsidP="00DE6038">
            <w:pPr>
              <w:ind w:firstLineChars="0" w:firstLine="0"/>
              <w:rPr>
                <w:sz w:val="16"/>
                <w:szCs w:val="16"/>
              </w:rPr>
            </w:pPr>
          </w:p>
        </w:tc>
        <w:tc>
          <w:tcPr>
            <w:tcW w:w="499" w:type="pct"/>
            <w:noWrap/>
            <w:vAlign w:val="center"/>
            <w:hideMark/>
          </w:tcPr>
          <w:p w14:paraId="6D273ADA" w14:textId="77777777" w:rsidR="00474EF8" w:rsidRPr="00D4192C" w:rsidRDefault="00474EF8" w:rsidP="00DE6038">
            <w:pPr>
              <w:ind w:firstLineChars="0" w:firstLine="0"/>
              <w:rPr>
                <w:sz w:val="16"/>
                <w:szCs w:val="16"/>
              </w:rPr>
            </w:pPr>
          </w:p>
        </w:tc>
        <w:tc>
          <w:tcPr>
            <w:tcW w:w="499" w:type="pct"/>
            <w:noWrap/>
            <w:vAlign w:val="center"/>
            <w:hideMark/>
          </w:tcPr>
          <w:p w14:paraId="1509AC64" w14:textId="77777777" w:rsidR="00474EF8" w:rsidRPr="00D4192C" w:rsidRDefault="00474EF8" w:rsidP="00DE6038">
            <w:pPr>
              <w:ind w:firstLineChars="0" w:firstLine="0"/>
              <w:rPr>
                <w:sz w:val="16"/>
                <w:szCs w:val="16"/>
              </w:rPr>
            </w:pPr>
          </w:p>
        </w:tc>
        <w:tc>
          <w:tcPr>
            <w:tcW w:w="465" w:type="pct"/>
            <w:noWrap/>
            <w:vAlign w:val="center"/>
            <w:hideMark/>
          </w:tcPr>
          <w:p w14:paraId="2F274116" w14:textId="77777777" w:rsidR="00474EF8" w:rsidRPr="00D4192C" w:rsidRDefault="00474EF8" w:rsidP="00DE6038">
            <w:pPr>
              <w:ind w:firstLineChars="0" w:firstLine="0"/>
              <w:rPr>
                <w:sz w:val="16"/>
                <w:szCs w:val="16"/>
              </w:rPr>
            </w:pPr>
          </w:p>
        </w:tc>
        <w:tc>
          <w:tcPr>
            <w:tcW w:w="438" w:type="pct"/>
            <w:noWrap/>
            <w:vAlign w:val="center"/>
            <w:hideMark/>
          </w:tcPr>
          <w:p w14:paraId="0FF8AAC8" w14:textId="77777777" w:rsidR="00474EF8" w:rsidRPr="00D4192C" w:rsidRDefault="00474EF8" w:rsidP="00DE6038">
            <w:pPr>
              <w:ind w:firstLineChars="0" w:firstLine="0"/>
              <w:rPr>
                <w:sz w:val="16"/>
                <w:szCs w:val="16"/>
              </w:rPr>
            </w:pPr>
          </w:p>
        </w:tc>
        <w:tc>
          <w:tcPr>
            <w:tcW w:w="407" w:type="pct"/>
            <w:noWrap/>
            <w:vAlign w:val="center"/>
            <w:hideMark/>
          </w:tcPr>
          <w:p w14:paraId="51BC8090" w14:textId="77777777" w:rsidR="00474EF8" w:rsidRPr="00D4192C" w:rsidRDefault="00474EF8" w:rsidP="00DE6038">
            <w:pPr>
              <w:ind w:firstLineChars="0" w:firstLine="0"/>
              <w:rPr>
                <w:sz w:val="16"/>
                <w:szCs w:val="16"/>
              </w:rPr>
            </w:pPr>
          </w:p>
        </w:tc>
        <w:tc>
          <w:tcPr>
            <w:tcW w:w="376" w:type="pct"/>
            <w:noWrap/>
            <w:vAlign w:val="center"/>
            <w:hideMark/>
          </w:tcPr>
          <w:p w14:paraId="479D0036" w14:textId="77777777" w:rsidR="00474EF8" w:rsidRPr="00D4192C" w:rsidRDefault="00474EF8" w:rsidP="00DE6038">
            <w:pPr>
              <w:ind w:firstLineChars="0" w:firstLine="0"/>
              <w:rPr>
                <w:sz w:val="16"/>
                <w:szCs w:val="16"/>
              </w:rPr>
            </w:pPr>
          </w:p>
        </w:tc>
      </w:tr>
      <w:tr w:rsidR="00D4192C" w:rsidRPr="00C73EBD" w14:paraId="57312A76" w14:textId="77777777" w:rsidTr="00D4192C">
        <w:trPr>
          <w:trHeight w:val="280"/>
        </w:trPr>
        <w:tc>
          <w:tcPr>
            <w:tcW w:w="438" w:type="pct"/>
            <w:noWrap/>
            <w:vAlign w:val="center"/>
            <w:hideMark/>
          </w:tcPr>
          <w:p w14:paraId="2E410425" w14:textId="77777777" w:rsidR="00474EF8" w:rsidRPr="00C73EBD" w:rsidRDefault="00474EF8" w:rsidP="00DE6038">
            <w:pPr>
              <w:ind w:firstLineChars="0" w:firstLine="0"/>
              <w:jc w:val="center"/>
              <w:rPr>
                <w:rFonts w:eastAsia="新細明體"/>
                <w:color w:val="000000"/>
                <w:sz w:val="22"/>
              </w:rPr>
            </w:pPr>
            <w:proofErr w:type="spellStart"/>
            <w:r w:rsidRPr="00C73EBD">
              <w:rPr>
                <w:rFonts w:eastAsia="新細明體" w:hint="eastAsia"/>
                <w:color w:val="000000"/>
                <w:sz w:val="22"/>
              </w:rPr>
              <w:t>Stk</w:t>
            </w:r>
            <w:proofErr w:type="spellEnd"/>
          </w:p>
        </w:tc>
        <w:tc>
          <w:tcPr>
            <w:tcW w:w="465" w:type="pct"/>
            <w:noWrap/>
            <w:vAlign w:val="center"/>
            <w:hideMark/>
          </w:tcPr>
          <w:p w14:paraId="0F48DB62"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0.03</w:t>
            </w:r>
          </w:p>
        </w:tc>
        <w:tc>
          <w:tcPr>
            <w:tcW w:w="499" w:type="pct"/>
            <w:noWrap/>
            <w:vAlign w:val="center"/>
            <w:hideMark/>
          </w:tcPr>
          <w:p w14:paraId="7914ED34"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1.00</w:t>
            </w:r>
          </w:p>
        </w:tc>
        <w:tc>
          <w:tcPr>
            <w:tcW w:w="499" w:type="pct"/>
            <w:noWrap/>
            <w:vAlign w:val="center"/>
            <w:hideMark/>
          </w:tcPr>
          <w:p w14:paraId="32DCE358" w14:textId="77777777" w:rsidR="00474EF8" w:rsidRPr="00D4192C" w:rsidRDefault="00474EF8" w:rsidP="00DE6038">
            <w:pPr>
              <w:ind w:firstLineChars="0" w:firstLine="0"/>
              <w:rPr>
                <w:rFonts w:eastAsia="新細明體"/>
                <w:color w:val="000000"/>
                <w:sz w:val="16"/>
                <w:szCs w:val="16"/>
              </w:rPr>
            </w:pPr>
          </w:p>
        </w:tc>
        <w:tc>
          <w:tcPr>
            <w:tcW w:w="415" w:type="pct"/>
            <w:noWrap/>
            <w:vAlign w:val="center"/>
            <w:hideMark/>
          </w:tcPr>
          <w:p w14:paraId="5F0A7FC2" w14:textId="77777777" w:rsidR="00474EF8" w:rsidRPr="00D4192C" w:rsidRDefault="00474EF8" w:rsidP="00DE6038">
            <w:pPr>
              <w:ind w:firstLineChars="0" w:firstLine="0"/>
              <w:rPr>
                <w:sz w:val="16"/>
                <w:szCs w:val="16"/>
              </w:rPr>
            </w:pPr>
          </w:p>
        </w:tc>
        <w:tc>
          <w:tcPr>
            <w:tcW w:w="499" w:type="pct"/>
            <w:noWrap/>
            <w:vAlign w:val="center"/>
            <w:hideMark/>
          </w:tcPr>
          <w:p w14:paraId="30D418AF" w14:textId="77777777" w:rsidR="00474EF8" w:rsidRPr="00D4192C" w:rsidRDefault="00474EF8" w:rsidP="00DE6038">
            <w:pPr>
              <w:ind w:firstLineChars="0" w:firstLine="0"/>
              <w:rPr>
                <w:sz w:val="16"/>
                <w:szCs w:val="16"/>
              </w:rPr>
            </w:pPr>
          </w:p>
        </w:tc>
        <w:tc>
          <w:tcPr>
            <w:tcW w:w="499" w:type="pct"/>
            <w:noWrap/>
            <w:vAlign w:val="center"/>
            <w:hideMark/>
          </w:tcPr>
          <w:p w14:paraId="53C3B7EE" w14:textId="77777777" w:rsidR="00474EF8" w:rsidRPr="00D4192C" w:rsidRDefault="00474EF8" w:rsidP="00DE6038">
            <w:pPr>
              <w:ind w:firstLineChars="0" w:firstLine="0"/>
              <w:rPr>
                <w:sz w:val="16"/>
                <w:szCs w:val="16"/>
              </w:rPr>
            </w:pPr>
          </w:p>
        </w:tc>
        <w:tc>
          <w:tcPr>
            <w:tcW w:w="465" w:type="pct"/>
            <w:noWrap/>
            <w:vAlign w:val="center"/>
            <w:hideMark/>
          </w:tcPr>
          <w:p w14:paraId="167414CF" w14:textId="77777777" w:rsidR="00474EF8" w:rsidRPr="00D4192C" w:rsidRDefault="00474EF8" w:rsidP="00DE6038">
            <w:pPr>
              <w:ind w:firstLineChars="0" w:firstLine="0"/>
              <w:rPr>
                <w:sz w:val="16"/>
                <w:szCs w:val="16"/>
              </w:rPr>
            </w:pPr>
          </w:p>
        </w:tc>
        <w:tc>
          <w:tcPr>
            <w:tcW w:w="438" w:type="pct"/>
            <w:noWrap/>
            <w:vAlign w:val="center"/>
            <w:hideMark/>
          </w:tcPr>
          <w:p w14:paraId="7E4EF986" w14:textId="77777777" w:rsidR="00474EF8" w:rsidRPr="00D4192C" w:rsidRDefault="00474EF8" w:rsidP="00DE6038">
            <w:pPr>
              <w:ind w:firstLineChars="0" w:firstLine="0"/>
              <w:rPr>
                <w:sz w:val="16"/>
                <w:szCs w:val="16"/>
              </w:rPr>
            </w:pPr>
          </w:p>
        </w:tc>
        <w:tc>
          <w:tcPr>
            <w:tcW w:w="407" w:type="pct"/>
            <w:noWrap/>
            <w:vAlign w:val="center"/>
            <w:hideMark/>
          </w:tcPr>
          <w:p w14:paraId="36C78FF4" w14:textId="77777777" w:rsidR="00474EF8" w:rsidRPr="00D4192C" w:rsidRDefault="00474EF8" w:rsidP="00DE6038">
            <w:pPr>
              <w:ind w:firstLineChars="0" w:firstLine="0"/>
              <w:rPr>
                <w:sz w:val="16"/>
                <w:szCs w:val="16"/>
              </w:rPr>
            </w:pPr>
          </w:p>
        </w:tc>
        <w:tc>
          <w:tcPr>
            <w:tcW w:w="376" w:type="pct"/>
            <w:noWrap/>
            <w:vAlign w:val="center"/>
            <w:hideMark/>
          </w:tcPr>
          <w:p w14:paraId="20EA4A4D" w14:textId="77777777" w:rsidR="00474EF8" w:rsidRPr="00D4192C" w:rsidRDefault="00474EF8" w:rsidP="00DE6038">
            <w:pPr>
              <w:ind w:firstLineChars="0" w:firstLine="0"/>
              <w:rPr>
                <w:sz w:val="16"/>
                <w:szCs w:val="16"/>
              </w:rPr>
            </w:pPr>
          </w:p>
        </w:tc>
      </w:tr>
      <w:tr w:rsidR="00D4192C" w:rsidRPr="00C73EBD" w14:paraId="500027D4" w14:textId="77777777" w:rsidTr="00D4192C">
        <w:trPr>
          <w:trHeight w:val="280"/>
        </w:trPr>
        <w:tc>
          <w:tcPr>
            <w:tcW w:w="438" w:type="pct"/>
            <w:noWrap/>
            <w:vAlign w:val="center"/>
            <w:hideMark/>
          </w:tcPr>
          <w:p w14:paraId="1436DD71" w14:textId="77777777" w:rsidR="00474EF8" w:rsidRPr="00C73EBD" w:rsidRDefault="00474EF8" w:rsidP="00DE6038">
            <w:pPr>
              <w:ind w:firstLineChars="0" w:firstLine="0"/>
              <w:jc w:val="center"/>
              <w:rPr>
                <w:rFonts w:eastAsia="新細明體"/>
                <w:color w:val="000000"/>
                <w:sz w:val="22"/>
              </w:rPr>
            </w:pPr>
            <w:r w:rsidRPr="00C73EBD">
              <w:rPr>
                <w:rFonts w:eastAsia="新細明體" w:hint="eastAsia"/>
                <w:color w:val="000000"/>
                <w:sz w:val="22"/>
              </w:rPr>
              <w:t>Beta</w:t>
            </w:r>
          </w:p>
        </w:tc>
        <w:tc>
          <w:tcPr>
            <w:tcW w:w="465" w:type="pct"/>
            <w:noWrap/>
            <w:vAlign w:val="center"/>
            <w:hideMark/>
          </w:tcPr>
          <w:p w14:paraId="17D9F319"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-0.23*</w:t>
            </w:r>
          </w:p>
        </w:tc>
        <w:tc>
          <w:tcPr>
            <w:tcW w:w="499" w:type="pct"/>
            <w:noWrap/>
            <w:vAlign w:val="center"/>
            <w:hideMark/>
          </w:tcPr>
          <w:p w14:paraId="1F4FBEA8"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-0.08</w:t>
            </w:r>
          </w:p>
        </w:tc>
        <w:tc>
          <w:tcPr>
            <w:tcW w:w="499" w:type="pct"/>
            <w:noWrap/>
            <w:vAlign w:val="center"/>
            <w:hideMark/>
          </w:tcPr>
          <w:p w14:paraId="5151EBD3"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1.00</w:t>
            </w:r>
          </w:p>
        </w:tc>
        <w:tc>
          <w:tcPr>
            <w:tcW w:w="415" w:type="pct"/>
            <w:noWrap/>
            <w:vAlign w:val="center"/>
            <w:hideMark/>
          </w:tcPr>
          <w:p w14:paraId="4ED0F1B7" w14:textId="77777777" w:rsidR="00474EF8" w:rsidRPr="00D4192C" w:rsidRDefault="00474EF8" w:rsidP="00DE6038">
            <w:pPr>
              <w:ind w:firstLineChars="0" w:firstLine="0"/>
              <w:rPr>
                <w:rFonts w:eastAsia="新細明體"/>
                <w:color w:val="000000"/>
                <w:sz w:val="16"/>
                <w:szCs w:val="16"/>
              </w:rPr>
            </w:pPr>
          </w:p>
        </w:tc>
        <w:tc>
          <w:tcPr>
            <w:tcW w:w="499" w:type="pct"/>
            <w:noWrap/>
            <w:vAlign w:val="center"/>
            <w:hideMark/>
          </w:tcPr>
          <w:p w14:paraId="40D5E12E" w14:textId="77777777" w:rsidR="00474EF8" w:rsidRPr="00D4192C" w:rsidRDefault="00474EF8" w:rsidP="00DE6038">
            <w:pPr>
              <w:ind w:firstLineChars="0" w:firstLine="0"/>
              <w:rPr>
                <w:sz w:val="16"/>
                <w:szCs w:val="16"/>
              </w:rPr>
            </w:pPr>
          </w:p>
        </w:tc>
        <w:tc>
          <w:tcPr>
            <w:tcW w:w="499" w:type="pct"/>
            <w:noWrap/>
            <w:vAlign w:val="center"/>
            <w:hideMark/>
          </w:tcPr>
          <w:p w14:paraId="682C8A89" w14:textId="77777777" w:rsidR="00474EF8" w:rsidRPr="00D4192C" w:rsidRDefault="00474EF8" w:rsidP="00DE6038">
            <w:pPr>
              <w:ind w:firstLineChars="0" w:firstLine="0"/>
              <w:rPr>
                <w:sz w:val="16"/>
                <w:szCs w:val="16"/>
              </w:rPr>
            </w:pPr>
          </w:p>
        </w:tc>
        <w:tc>
          <w:tcPr>
            <w:tcW w:w="465" w:type="pct"/>
            <w:noWrap/>
            <w:vAlign w:val="center"/>
            <w:hideMark/>
          </w:tcPr>
          <w:p w14:paraId="0FCB8808" w14:textId="77777777" w:rsidR="00474EF8" w:rsidRPr="00D4192C" w:rsidRDefault="00474EF8" w:rsidP="00DE6038">
            <w:pPr>
              <w:ind w:firstLineChars="0" w:firstLine="0"/>
              <w:rPr>
                <w:sz w:val="16"/>
                <w:szCs w:val="16"/>
              </w:rPr>
            </w:pPr>
          </w:p>
        </w:tc>
        <w:tc>
          <w:tcPr>
            <w:tcW w:w="438" w:type="pct"/>
            <w:noWrap/>
            <w:vAlign w:val="center"/>
            <w:hideMark/>
          </w:tcPr>
          <w:p w14:paraId="0E2E61B8" w14:textId="77777777" w:rsidR="00474EF8" w:rsidRPr="00D4192C" w:rsidRDefault="00474EF8" w:rsidP="00DE6038">
            <w:pPr>
              <w:ind w:firstLineChars="0" w:firstLine="0"/>
              <w:rPr>
                <w:sz w:val="16"/>
                <w:szCs w:val="16"/>
              </w:rPr>
            </w:pPr>
          </w:p>
        </w:tc>
        <w:tc>
          <w:tcPr>
            <w:tcW w:w="407" w:type="pct"/>
            <w:noWrap/>
            <w:vAlign w:val="center"/>
            <w:hideMark/>
          </w:tcPr>
          <w:p w14:paraId="246775E9" w14:textId="77777777" w:rsidR="00474EF8" w:rsidRPr="00D4192C" w:rsidRDefault="00474EF8" w:rsidP="00DE6038">
            <w:pPr>
              <w:ind w:firstLineChars="0" w:firstLine="0"/>
              <w:rPr>
                <w:sz w:val="16"/>
                <w:szCs w:val="16"/>
              </w:rPr>
            </w:pPr>
          </w:p>
        </w:tc>
        <w:tc>
          <w:tcPr>
            <w:tcW w:w="376" w:type="pct"/>
            <w:noWrap/>
            <w:vAlign w:val="center"/>
            <w:hideMark/>
          </w:tcPr>
          <w:p w14:paraId="3023299D" w14:textId="77777777" w:rsidR="00474EF8" w:rsidRPr="00D4192C" w:rsidRDefault="00474EF8" w:rsidP="00DE6038">
            <w:pPr>
              <w:ind w:firstLineChars="0" w:firstLine="0"/>
              <w:rPr>
                <w:sz w:val="16"/>
                <w:szCs w:val="16"/>
              </w:rPr>
            </w:pPr>
          </w:p>
        </w:tc>
      </w:tr>
      <w:tr w:rsidR="00D4192C" w:rsidRPr="00C73EBD" w14:paraId="514ECEC1" w14:textId="77777777" w:rsidTr="00D4192C">
        <w:trPr>
          <w:trHeight w:val="280"/>
        </w:trPr>
        <w:tc>
          <w:tcPr>
            <w:tcW w:w="438" w:type="pct"/>
            <w:noWrap/>
            <w:vAlign w:val="center"/>
            <w:hideMark/>
          </w:tcPr>
          <w:p w14:paraId="3104C7E8" w14:textId="77777777" w:rsidR="00474EF8" w:rsidRPr="00C73EBD" w:rsidRDefault="00474EF8" w:rsidP="00DE6038">
            <w:pPr>
              <w:ind w:firstLineChars="0" w:firstLine="0"/>
              <w:jc w:val="center"/>
              <w:rPr>
                <w:rFonts w:eastAsia="新細明體"/>
                <w:color w:val="000000"/>
                <w:sz w:val="22"/>
              </w:rPr>
            </w:pPr>
            <w:r w:rsidRPr="00C73EBD">
              <w:rPr>
                <w:rFonts w:eastAsia="新細明體" w:hint="eastAsia"/>
                <w:color w:val="000000"/>
                <w:sz w:val="22"/>
              </w:rPr>
              <w:t>PB</w:t>
            </w:r>
          </w:p>
        </w:tc>
        <w:tc>
          <w:tcPr>
            <w:tcW w:w="465" w:type="pct"/>
            <w:noWrap/>
            <w:vAlign w:val="center"/>
            <w:hideMark/>
          </w:tcPr>
          <w:p w14:paraId="1F75EB98"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0.44***</w:t>
            </w:r>
          </w:p>
        </w:tc>
        <w:tc>
          <w:tcPr>
            <w:tcW w:w="499" w:type="pct"/>
            <w:noWrap/>
            <w:vAlign w:val="center"/>
            <w:hideMark/>
          </w:tcPr>
          <w:p w14:paraId="09DBF7AB"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0.34**</w:t>
            </w:r>
          </w:p>
        </w:tc>
        <w:tc>
          <w:tcPr>
            <w:tcW w:w="499" w:type="pct"/>
            <w:noWrap/>
            <w:vAlign w:val="center"/>
            <w:hideMark/>
          </w:tcPr>
          <w:p w14:paraId="56B91F9B"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-0.47***</w:t>
            </w:r>
          </w:p>
        </w:tc>
        <w:tc>
          <w:tcPr>
            <w:tcW w:w="415" w:type="pct"/>
            <w:noWrap/>
            <w:vAlign w:val="center"/>
            <w:hideMark/>
          </w:tcPr>
          <w:p w14:paraId="16FE57E6"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1.00</w:t>
            </w:r>
          </w:p>
        </w:tc>
        <w:tc>
          <w:tcPr>
            <w:tcW w:w="499" w:type="pct"/>
            <w:noWrap/>
            <w:vAlign w:val="center"/>
            <w:hideMark/>
          </w:tcPr>
          <w:p w14:paraId="367EDD2F" w14:textId="77777777" w:rsidR="00474EF8" w:rsidRPr="00D4192C" w:rsidRDefault="00474EF8" w:rsidP="00DE6038">
            <w:pPr>
              <w:ind w:firstLineChars="0" w:firstLine="0"/>
              <w:rPr>
                <w:rFonts w:eastAsia="新細明體"/>
                <w:color w:val="000000"/>
                <w:sz w:val="16"/>
                <w:szCs w:val="16"/>
              </w:rPr>
            </w:pPr>
          </w:p>
        </w:tc>
        <w:tc>
          <w:tcPr>
            <w:tcW w:w="499" w:type="pct"/>
            <w:noWrap/>
            <w:vAlign w:val="center"/>
            <w:hideMark/>
          </w:tcPr>
          <w:p w14:paraId="3BF82A9E" w14:textId="77777777" w:rsidR="00474EF8" w:rsidRPr="00D4192C" w:rsidRDefault="00474EF8" w:rsidP="00DE6038">
            <w:pPr>
              <w:ind w:firstLineChars="0" w:firstLine="0"/>
              <w:rPr>
                <w:sz w:val="16"/>
                <w:szCs w:val="16"/>
              </w:rPr>
            </w:pPr>
          </w:p>
        </w:tc>
        <w:tc>
          <w:tcPr>
            <w:tcW w:w="465" w:type="pct"/>
            <w:noWrap/>
            <w:vAlign w:val="center"/>
            <w:hideMark/>
          </w:tcPr>
          <w:p w14:paraId="3A87C15F" w14:textId="77777777" w:rsidR="00474EF8" w:rsidRPr="00D4192C" w:rsidRDefault="00474EF8" w:rsidP="00DE6038">
            <w:pPr>
              <w:ind w:firstLineChars="0" w:firstLine="0"/>
              <w:rPr>
                <w:sz w:val="16"/>
                <w:szCs w:val="16"/>
              </w:rPr>
            </w:pPr>
          </w:p>
        </w:tc>
        <w:tc>
          <w:tcPr>
            <w:tcW w:w="438" w:type="pct"/>
            <w:noWrap/>
            <w:vAlign w:val="center"/>
            <w:hideMark/>
          </w:tcPr>
          <w:p w14:paraId="0512286A" w14:textId="77777777" w:rsidR="00474EF8" w:rsidRPr="00D4192C" w:rsidRDefault="00474EF8" w:rsidP="00DE6038">
            <w:pPr>
              <w:ind w:firstLineChars="0" w:firstLine="0"/>
              <w:rPr>
                <w:sz w:val="16"/>
                <w:szCs w:val="16"/>
              </w:rPr>
            </w:pPr>
          </w:p>
        </w:tc>
        <w:tc>
          <w:tcPr>
            <w:tcW w:w="407" w:type="pct"/>
            <w:noWrap/>
            <w:vAlign w:val="center"/>
            <w:hideMark/>
          </w:tcPr>
          <w:p w14:paraId="24A52840" w14:textId="77777777" w:rsidR="00474EF8" w:rsidRPr="00D4192C" w:rsidRDefault="00474EF8" w:rsidP="00DE6038">
            <w:pPr>
              <w:ind w:firstLineChars="0" w:firstLine="0"/>
              <w:rPr>
                <w:sz w:val="16"/>
                <w:szCs w:val="16"/>
              </w:rPr>
            </w:pPr>
          </w:p>
        </w:tc>
        <w:tc>
          <w:tcPr>
            <w:tcW w:w="376" w:type="pct"/>
            <w:noWrap/>
            <w:vAlign w:val="center"/>
            <w:hideMark/>
          </w:tcPr>
          <w:p w14:paraId="6F05EC80" w14:textId="77777777" w:rsidR="00474EF8" w:rsidRPr="00D4192C" w:rsidRDefault="00474EF8" w:rsidP="00DE6038">
            <w:pPr>
              <w:ind w:firstLineChars="0" w:firstLine="0"/>
              <w:rPr>
                <w:sz w:val="16"/>
                <w:szCs w:val="16"/>
              </w:rPr>
            </w:pPr>
          </w:p>
        </w:tc>
      </w:tr>
      <w:tr w:rsidR="00D4192C" w:rsidRPr="00C73EBD" w14:paraId="24F293F7" w14:textId="77777777" w:rsidTr="00D4192C">
        <w:trPr>
          <w:trHeight w:val="280"/>
        </w:trPr>
        <w:tc>
          <w:tcPr>
            <w:tcW w:w="438" w:type="pct"/>
            <w:noWrap/>
            <w:vAlign w:val="center"/>
            <w:hideMark/>
          </w:tcPr>
          <w:p w14:paraId="575E9D73" w14:textId="77777777" w:rsidR="00474EF8" w:rsidRPr="00C73EBD" w:rsidRDefault="00474EF8" w:rsidP="00DE6038">
            <w:pPr>
              <w:ind w:firstLineChars="0" w:firstLine="0"/>
              <w:jc w:val="center"/>
              <w:rPr>
                <w:rFonts w:eastAsia="新細明體"/>
                <w:color w:val="000000"/>
                <w:sz w:val="22"/>
              </w:rPr>
            </w:pPr>
            <w:r w:rsidRPr="00C73EBD">
              <w:rPr>
                <w:rFonts w:eastAsia="新細明體" w:hint="eastAsia"/>
                <w:color w:val="000000"/>
                <w:sz w:val="22"/>
              </w:rPr>
              <w:t>INT</w:t>
            </w:r>
          </w:p>
        </w:tc>
        <w:tc>
          <w:tcPr>
            <w:tcW w:w="465" w:type="pct"/>
            <w:noWrap/>
            <w:vAlign w:val="center"/>
            <w:hideMark/>
          </w:tcPr>
          <w:p w14:paraId="63CB2EB9"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0.38***</w:t>
            </w:r>
          </w:p>
        </w:tc>
        <w:tc>
          <w:tcPr>
            <w:tcW w:w="499" w:type="pct"/>
            <w:noWrap/>
            <w:vAlign w:val="center"/>
            <w:hideMark/>
          </w:tcPr>
          <w:p w14:paraId="04CC6945"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-0.41***</w:t>
            </w:r>
          </w:p>
        </w:tc>
        <w:tc>
          <w:tcPr>
            <w:tcW w:w="499" w:type="pct"/>
            <w:noWrap/>
            <w:vAlign w:val="center"/>
            <w:hideMark/>
          </w:tcPr>
          <w:p w14:paraId="30EF2B6C"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-0.37***</w:t>
            </w:r>
          </w:p>
        </w:tc>
        <w:tc>
          <w:tcPr>
            <w:tcW w:w="415" w:type="pct"/>
            <w:noWrap/>
            <w:vAlign w:val="center"/>
            <w:hideMark/>
          </w:tcPr>
          <w:p w14:paraId="6261A047"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0.33**</w:t>
            </w:r>
          </w:p>
        </w:tc>
        <w:tc>
          <w:tcPr>
            <w:tcW w:w="499" w:type="pct"/>
            <w:noWrap/>
            <w:vAlign w:val="center"/>
            <w:hideMark/>
          </w:tcPr>
          <w:p w14:paraId="564EC006"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1.00</w:t>
            </w:r>
          </w:p>
        </w:tc>
        <w:tc>
          <w:tcPr>
            <w:tcW w:w="499" w:type="pct"/>
            <w:noWrap/>
            <w:vAlign w:val="center"/>
            <w:hideMark/>
          </w:tcPr>
          <w:p w14:paraId="2629862A" w14:textId="77777777" w:rsidR="00474EF8" w:rsidRPr="00D4192C" w:rsidRDefault="00474EF8" w:rsidP="00DE6038">
            <w:pPr>
              <w:ind w:firstLineChars="0" w:firstLine="0"/>
              <w:rPr>
                <w:rFonts w:eastAsia="新細明體"/>
                <w:color w:val="000000"/>
                <w:sz w:val="16"/>
                <w:szCs w:val="16"/>
              </w:rPr>
            </w:pPr>
          </w:p>
        </w:tc>
        <w:tc>
          <w:tcPr>
            <w:tcW w:w="465" w:type="pct"/>
            <w:noWrap/>
            <w:vAlign w:val="center"/>
            <w:hideMark/>
          </w:tcPr>
          <w:p w14:paraId="220CC6E3" w14:textId="77777777" w:rsidR="00474EF8" w:rsidRPr="00D4192C" w:rsidRDefault="00474EF8" w:rsidP="00DE6038">
            <w:pPr>
              <w:ind w:firstLineChars="0" w:firstLine="0"/>
              <w:rPr>
                <w:sz w:val="16"/>
                <w:szCs w:val="16"/>
              </w:rPr>
            </w:pPr>
          </w:p>
        </w:tc>
        <w:tc>
          <w:tcPr>
            <w:tcW w:w="438" w:type="pct"/>
            <w:noWrap/>
            <w:vAlign w:val="center"/>
            <w:hideMark/>
          </w:tcPr>
          <w:p w14:paraId="5F36ACD5" w14:textId="77777777" w:rsidR="00474EF8" w:rsidRPr="00D4192C" w:rsidRDefault="00474EF8" w:rsidP="00DE6038">
            <w:pPr>
              <w:ind w:firstLineChars="0" w:firstLine="0"/>
              <w:rPr>
                <w:sz w:val="16"/>
                <w:szCs w:val="16"/>
              </w:rPr>
            </w:pPr>
          </w:p>
        </w:tc>
        <w:tc>
          <w:tcPr>
            <w:tcW w:w="407" w:type="pct"/>
            <w:noWrap/>
            <w:vAlign w:val="center"/>
            <w:hideMark/>
          </w:tcPr>
          <w:p w14:paraId="4F915453" w14:textId="77777777" w:rsidR="00474EF8" w:rsidRPr="00D4192C" w:rsidRDefault="00474EF8" w:rsidP="00DE6038">
            <w:pPr>
              <w:ind w:firstLineChars="0" w:firstLine="0"/>
              <w:rPr>
                <w:sz w:val="16"/>
                <w:szCs w:val="16"/>
              </w:rPr>
            </w:pPr>
          </w:p>
        </w:tc>
        <w:tc>
          <w:tcPr>
            <w:tcW w:w="376" w:type="pct"/>
            <w:noWrap/>
            <w:vAlign w:val="center"/>
            <w:hideMark/>
          </w:tcPr>
          <w:p w14:paraId="155CD20A" w14:textId="77777777" w:rsidR="00474EF8" w:rsidRPr="00D4192C" w:rsidRDefault="00474EF8" w:rsidP="00DE6038">
            <w:pPr>
              <w:ind w:firstLineChars="0" w:firstLine="0"/>
              <w:rPr>
                <w:sz w:val="16"/>
                <w:szCs w:val="16"/>
              </w:rPr>
            </w:pPr>
          </w:p>
        </w:tc>
      </w:tr>
      <w:tr w:rsidR="00D4192C" w:rsidRPr="00C73EBD" w14:paraId="2CD94E78" w14:textId="77777777" w:rsidTr="00D4192C">
        <w:trPr>
          <w:trHeight w:val="280"/>
        </w:trPr>
        <w:tc>
          <w:tcPr>
            <w:tcW w:w="438" w:type="pct"/>
            <w:noWrap/>
            <w:vAlign w:val="center"/>
            <w:hideMark/>
          </w:tcPr>
          <w:p w14:paraId="09232567" w14:textId="77777777" w:rsidR="00474EF8" w:rsidRPr="00C73EBD" w:rsidRDefault="00474EF8" w:rsidP="00DE6038">
            <w:pPr>
              <w:ind w:firstLineChars="0" w:firstLine="0"/>
              <w:jc w:val="center"/>
              <w:rPr>
                <w:rFonts w:eastAsia="新細明體"/>
                <w:color w:val="000000"/>
                <w:sz w:val="22"/>
              </w:rPr>
            </w:pPr>
            <w:r w:rsidRPr="00C73EBD">
              <w:rPr>
                <w:rFonts w:eastAsia="新細明體" w:hint="eastAsia"/>
                <w:color w:val="000000"/>
                <w:sz w:val="22"/>
              </w:rPr>
              <w:t>ROA</w:t>
            </w:r>
          </w:p>
        </w:tc>
        <w:tc>
          <w:tcPr>
            <w:tcW w:w="465" w:type="pct"/>
            <w:noWrap/>
            <w:vAlign w:val="center"/>
            <w:hideMark/>
          </w:tcPr>
          <w:p w14:paraId="245E9C83"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-0.21</w:t>
            </w:r>
          </w:p>
        </w:tc>
        <w:tc>
          <w:tcPr>
            <w:tcW w:w="499" w:type="pct"/>
            <w:noWrap/>
            <w:vAlign w:val="center"/>
            <w:hideMark/>
          </w:tcPr>
          <w:p w14:paraId="5CA71AFD"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0.68***</w:t>
            </w:r>
          </w:p>
        </w:tc>
        <w:tc>
          <w:tcPr>
            <w:tcW w:w="499" w:type="pct"/>
            <w:noWrap/>
            <w:vAlign w:val="center"/>
            <w:hideMark/>
          </w:tcPr>
          <w:p w14:paraId="11C34E1B"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0.15</w:t>
            </w:r>
          </w:p>
        </w:tc>
        <w:tc>
          <w:tcPr>
            <w:tcW w:w="415" w:type="pct"/>
            <w:noWrap/>
            <w:vAlign w:val="center"/>
            <w:hideMark/>
          </w:tcPr>
          <w:p w14:paraId="0C980E65"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0.10</w:t>
            </w:r>
          </w:p>
        </w:tc>
        <w:tc>
          <w:tcPr>
            <w:tcW w:w="499" w:type="pct"/>
            <w:noWrap/>
            <w:vAlign w:val="center"/>
            <w:hideMark/>
          </w:tcPr>
          <w:p w14:paraId="406CEF17"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-0.50***</w:t>
            </w:r>
          </w:p>
        </w:tc>
        <w:tc>
          <w:tcPr>
            <w:tcW w:w="499" w:type="pct"/>
            <w:noWrap/>
            <w:vAlign w:val="center"/>
            <w:hideMark/>
          </w:tcPr>
          <w:p w14:paraId="2E1D1A40"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1.00</w:t>
            </w:r>
          </w:p>
        </w:tc>
        <w:tc>
          <w:tcPr>
            <w:tcW w:w="465" w:type="pct"/>
            <w:noWrap/>
            <w:vAlign w:val="center"/>
            <w:hideMark/>
          </w:tcPr>
          <w:p w14:paraId="2D84DB5F" w14:textId="77777777" w:rsidR="00474EF8" w:rsidRPr="00D4192C" w:rsidRDefault="00474EF8" w:rsidP="00DE6038">
            <w:pPr>
              <w:ind w:firstLineChars="0" w:firstLine="0"/>
              <w:rPr>
                <w:rFonts w:eastAsia="新細明體"/>
                <w:color w:val="000000"/>
                <w:sz w:val="16"/>
                <w:szCs w:val="16"/>
              </w:rPr>
            </w:pPr>
          </w:p>
        </w:tc>
        <w:tc>
          <w:tcPr>
            <w:tcW w:w="438" w:type="pct"/>
            <w:noWrap/>
            <w:vAlign w:val="center"/>
            <w:hideMark/>
          </w:tcPr>
          <w:p w14:paraId="5CE0A859" w14:textId="77777777" w:rsidR="00474EF8" w:rsidRPr="00D4192C" w:rsidRDefault="00474EF8" w:rsidP="00DE6038">
            <w:pPr>
              <w:ind w:firstLineChars="0" w:firstLine="0"/>
              <w:rPr>
                <w:sz w:val="16"/>
                <w:szCs w:val="16"/>
              </w:rPr>
            </w:pPr>
          </w:p>
        </w:tc>
        <w:tc>
          <w:tcPr>
            <w:tcW w:w="407" w:type="pct"/>
            <w:noWrap/>
            <w:vAlign w:val="center"/>
            <w:hideMark/>
          </w:tcPr>
          <w:p w14:paraId="31A73A32" w14:textId="77777777" w:rsidR="00474EF8" w:rsidRPr="00D4192C" w:rsidRDefault="00474EF8" w:rsidP="00DE6038">
            <w:pPr>
              <w:ind w:firstLineChars="0" w:firstLine="0"/>
              <w:rPr>
                <w:sz w:val="16"/>
                <w:szCs w:val="16"/>
              </w:rPr>
            </w:pPr>
          </w:p>
        </w:tc>
        <w:tc>
          <w:tcPr>
            <w:tcW w:w="376" w:type="pct"/>
            <w:noWrap/>
            <w:vAlign w:val="center"/>
            <w:hideMark/>
          </w:tcPr>
          <w:p w14:paraId="77705E29" w14:textId="77777777" w:rsidR="00474EF8" w:rsidRPr="00D4192C" w:rsidRDefault="00474EF8" w:rsidP="00DE6038">
            <w:pPr>
              <w:ind w:firstLineChars="0" w:firstLine="0"/>
              <w:rPr>
                <w:sz w:val="16"/>
                <w:szCs w:val="16"/>
              </w:rPr>
            </w:pPr>
          </w:p>
        </w:tc>
      </w:tr>
      <w:tr w:rsidR="00D4192C" w:rsidRPr="00C73EBD" w14:paraId="52960D0C" w14:textId="77777777" w:rsidTr="00D4192C">
        <w:trPr>
          <w:trHeight w:val="280"/>
        </w:trPr>
        <w:tc>
          <w:tcPr>
            <w:tcW w:w="438" w:type="pct"/>
            <w:noWrap/>
            <w:vAlign w:val="center"/>
            <w:hideMark/>
          </w:tcPr>
          <w:p w14:paraId="27A429F0" w14:textId="77777777" w:rsidR="00474EF8" w:rsidRPr="00C73EBD" w:rsidRDefault="00474EF8" w:rsidP="00DE6038">
            <w:pPr>
              <w:ind w:firstLineChars="0" w:firstLine="0"/>
              <w:jc w:val="center"/>
              <w:rPr>
                <w:rFonts w:eastAsia="新細明體"/>
                <w:color w:val="000000"/>
                <w:sz w:val="22"/>
              </w:rPr>
            </w:pPr>
            <w:r w:rsidRPr="00C73EBD">
              <w:rPr>
                <w:rFonts w:eastAsia="新細明體" w:hint="eastAsia"/>
                <w:color w:val="000000"/>
                <w:sz w:val="22"/>
              </w:rPr>
              <w:t>ROE</w:t>
            </w:r>
          </w:p>
        </w:tc>
        <w:tc>
          <w:tcPr>
            <w:tcW w:w="465" w:type="pct"/>
            <w:noWrap/>
            <w:vAlign w:val="center"/>
            <w:hideMark/>
          </w:tcPr>
          <w:p w14:paraId="5FE99595"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-0.15</w:t>
            </w:r>
          </w:p>
        </w:tc>
        <w:tc>
          <w:tcPr>
            <w:tcW w:w="499" w:type="pct"/>
            <w:noWrap/>
            <w:vAlign w:val="center"/>
            <w:hideMark/>
          </w:tcPr>
          <w:p w14:paraId="1F1C5437"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0.63***</w:t>
            </w:r>
          </w:p>
        </w:tc>
        <w:tc>
          <w:tcPr>
            <w:tcW w:w="499" w:type="pct"/>
            <w:noWrap/>
            <w:vAlign w:val="center"/>
            <w:hideMark/>
          </w:tcPr>
          <w:p w14:paraId="1CD788B7"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0.06</w:t>
            </w:r>
          </w:p>
        </w:tc>
        <w:tc>
          <w:tcPr>
            <w:tcW w:w="415" w:type="pct"/>
            <w:noWrap/>
            <w:vAlign w:val="center"/>
            <w:hideMark/>
          </w:tcPr>
          <w:p w14:paraId="13A499F1"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0.20</w:t>
            </w:r>
          </w:p>
        </w:tc>
        <w:tc>
          <w:tcPr>
            <w:tcW w:w="499" w:type="pct"/>
            <w:noWrap/>
            <w:vAlign w:val="center"/>
            <w:hideMark/>
          </w:tcPr>
          <w:p w14:paraId="2CB274A4"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-0.46***</w:t>
            </w:r>
          </w:p>
        </w:tc>
        <w:tc>
          <w:tcPr>
            <w:tcW w:w="499" w:type="pct"/>
            <w:noWrap/>
            <w:vAlign w:val="center"/>
            <w:hideMark/>
          </w:tcPr>
          <w:p w14:paraId="553172FF"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0.91***</w:t>
            </w:r>
          </w:p>
        </w:tc>
        <w:tc>
          <w:tcPr>
            <w:tcW w:w="465" w:type="pct"/>
            <w:noWrap/>
            <w:vAlign w:val="center"/>
            <w:hideMark/>
          </w:tcPr>
          <w:p w14:paraId="65157C0C"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1.00</w:t>
            </w:r>
          </w:p>
        </w:tc>
        <w:tc>
          <w:tcPr>
            <w:tcW w:w="438" w:type="pct"/>
            <w:noWrap/>
            <w:vAlign w:val="center"/>
            <w:hideMark/>
          </w:tcPr>
          <w:p w14:paraId="0444C948" w14:textId="77777777" w:rsidR="00474EF8" w:rsidRPr="00D4192C" w:rsidRDefault="00474EF8" w:rsidP="00DE6038">
            <w:pPr>
              <w:ind w:firstLineChars="0" w:firstLine="0"/>
              <w:rPr>
                <w:rFonts w:eastAsia="新細明體"/>
                <w:color w:val="000000"/>
                <w:sz w:val="16"/>
                <w:szCs w:val="16"/>
              </w:rPr>
            </w:pPr>
          </w:p>
        </w:tc>
        <w:tc>
          <w:tcPr>
            <w:tcW w:w="407" w:type="pct"/>
            <w:noWrap/>
            <w:vAlign w:val="center"/>
            <w:hideMark/>
          </w:tcPr>
          <w:p w14:paraId="5DEA785E" w14:textId="77777777" w:rsidR="00474EF8" w:rsidRPr="00D4192C" w:rsidRDefault="00474EF8" w:rsidP="00DE6038">
            <w:pPr>
              <w:ind w:firstLineChars="0" w:firstLine="0"/>
              <w:rPr>
                <w:sz w:val="16"/>
                <w:szCs w:val="16"/>
              </w:rPr>
            </w:pPr>
          </w:p>
        </w:tc>
        <w:tc>
          <w:tcPr>
            <w:tcW w:w="376" w:type="pct"/>
            <w:noWrap/>
            <w:vAlign w:val="center"/>
            <w:hideMark/>
          </w:tcPr>
          <w:p w14:paraId="0718843F" w14:textId="77777777" w:rsidR="00474EF8" w:rsidRPr="00D4192C" w:rsidRDefault="00474EF8" w:rsidP="00DE6038">
            <w:pPr>
              <w:ind w:firstLineChars="0" w:firstLine="0"/>
              <w:rPr>
                <w:sz w:val="16"/>
                <w:szCs w:val="16"/>
              </w:rPr>
            </w:pPr>
          </w:p>
        </w:tc>
      </w:tr>
      <w:tr w:rsidR="00D4192C" w:rsidRPr="00C73EBD" w14:paraId="701486E5" w14:textId="77777777" w:rsidTr="00D4192C">
        <w:trPr>
          <w:trHeight w:val="280"/>
        </w:trPr>
        <w:tc>
          <w:tcPr>
            <w:tcW w:w="438" w:type="pct"/>
            <w:noWrap/>
            <w:vAlign w:val="center"/>
            <w:hideMark/>
          </w:tcPr>
          <w:p w14:paraId="617F6CFC" w14:textId="77777777" w:rsidR="00474EF8" w:rsidRPr="00C73EBD" w:rsidRDefault="00474EF8" w:rsidP="00DE6038">
            <w:pPr>
              <w:ind w:firstLineChars="0" w:firstLine="0"/>
              <w:jc w:val="center"/>
              <w:rPr>
                <w:rFonts w:eastAsia="新細明體"/>
                <w:color w:val="000000"/>
                <w:sz w:val="22"/>
              </w:rPr>
            </w:pPr>
            <w:r w:rsidRPr="00C73EBD">
              <w:rPr>
                <w:rFonts w:eastAsia="新細明體" w:hint="eastAsia"/>
                <w:color w:val="000000"/>
                <w:sz w:val="22"/>
              </w:rPr>
              <w:t>YOY</w:t>
            </w:r>
          </w:p>
        </w:tc>
        <w:tc>
          <w:tcPr>
            <w:tcW w:w="465" w:type="pct"/>
            <w:noWrap/>
            <w:vAlign w:val="center"/>
            <w:hideMark/>
          </w:tcPr>
          <w:p w14:paraId="7084E167"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-0.24*</w:t>
            </w:r>
          </w:p>
        </w:tc>
        <w:tc>
          <w:tcPr>
            <w:tcW w:w="499" w:type="pct"/>
            <w:noWrap/>
            <w:vAlign w:val="center"/>
            <w:hideMark/>
          </w:tcPr>
          <w:p w14:paraId="34C80ECD"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0.08</w:t>
            </w:r>
          </w:p>
        </w:tc>
        <w:tc>
          <w:tcPr>
            <w:tcW w:w="499" w:type="pct"/>
            <w:noWrap/>
            <w:vAlign w:val="center"/>
            <w:hideMark/>
          </w:tcPr>
          <w:p w14:paraId="79EC94FA"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-0.03</w:t>
            </w:r>
          </w:p>
        </w:tc>
        <w:tc>
          <w:tcPr>
            <w:tcW w:w="415" w:type="pct"/>
            <w:noWrap/>
            <w:vAlign w:val="center"/>
            <w:hideMark/>
          </w:tcPr>
          <w:p w14:paraId="041C381B"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-0.14</w:t>
            </w:r>
          </w:p>
        </w:tc>
        <w:tc>
          <w:tcPr>
            <w:tcW w:w="499" w:type="pct"/>
            <w:noWrap/>
            <w:vAlign w:val="center"/>
            <w:hideMark/>
          </w:tcPr>
          <w:p w14:paraId="49A10BE5"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-0.15</w:t>
            </w:r>
          </w:p>
        </w:tc>
        <w:tc>
          <w:tcPr>
            <w:tcW w:w="499" w:type="pct"/>
            <w:noWrap/>
            <w:vAlign w:val="center"/>
            <w:hideMark/>
          </w:tcPr>
          <w:p w14:paraId="425230D9"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0.16</w:t>
            </w:r>
          </w:p>
        </w:tc>
        <w:tc>
          <w:tcPr>
            <w:tcW w:w="465" w:type="pct"/>
            <w:noWrap/>
            <w:vAlign w:val="center"/>
            <w:hideMark/>
          </w:tcPr>
          <w:p w14:paraId="6628DACF"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0.06</w:t>
            </w:r>
          </w:p>
        </w:tc>
        <w:tc>
          <w:tcPr>
            <w:tcW w:w="438" w:type="pct"/>
            <w:noWrap/>
            <w:vAlign w:val="center"/>
            <w:hideMark/>
          </w:tcPr>
          <w:p w14:paraId="485F1935"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1.00</w:t>
            </w:r>
          </w:p>
        </w:tc>
        <w:tc>
          <w:tcPr>
            <w:tcW w:w="407" w:type="pct"/>
            <w:noWrap/>
            <w:vAlign w:val="center"/>
            <w:hideMark/>
          </w:tcPr>
          <w:p w14:paraId="0356D036" w14:textId="77777777" w:rsidR="00474EF8" w:rsidRPr="00D4192C" w:rsidRDefault="00474EF8" w:rsidP="00DE6038">
            <w:pPr>
              <w:ind w:firstLineChars="0" w:firstLine="0"/>
              <w:rPr>
                <w:rFonts w:eastAsia="新細明體"/>
                <w:color w:val="000000"/>
                <w:sz w:val="16"/>
                <w:szCs w:val="16"/>
              </w:rPr>
            </w:pPr>
          </w:p>
        </w:tc>
        <w:tc>
          <w:tcPr>
            <w:tcW w:w="376" w:type="pct"/>
            <w:noWrap/>
            <w:vAlign w:val="center"/>
            <w:hideMark/>
          </w:tcPr>
          <w:p w14:paraId="347E65CF" w14:textId="77777777" w:rsidR="00474EF8" w:rsidRPr="00D4192C" w:rsidRDefault="00474EF8" w:rsidP="00DE6038">
            <w:pPr>
              <w:ind w:firstLineChars="0" w:firstLine="0"/>
              <w:rPr>
                <w:sz w:val="16"/>
                <w:szCs w:val="16"/>
              </w:rPr>
            </w:pPr>
          </w:p>
        </w:tc>
      </w:tr>
      <w:tr w:rsidR="00D4192C" w:rsidRPr="00C73EBD" w14:paraId="33DCE2BE" w14:textId="77777777" w:rsidTr="00D4192C">
        <w:trPr>
          <w:trHeight w:val="600"/>
        </w:trPr>
        <w:tc>
          <w:tcPr>
            <w:tcW w:w="438" w:type="pct"/>
            <w:vAlign w:val="center"/>
            <w:hideMark/>
          </w:tcPr>
          <w:p w14:paraId="739BA557" w14:textId="77777777" w:rsidR="00D4192C" w:rsidRDefault="00474EF8" w:rsidP="00DE6038">
            <w:pPr>
              <w:ind w:firstLineChars="0" w:firstLine="0"/>
              <w:jc w:val="center"/>
              <w:rPr>
                <w:rFonts w:eastAsia="新細明體"/>
                <w:color w:val="000000"/>
                <w:sz w:val="22"/>
              </w:rPr>
            </w:pPr>
            <w:r w:rsidRPr="00C73EBD">
              <w:rPr>
                <w:rFonts w:eastAsia="新細明體" w:hint="eastAsia"/>
                <w:color w:val="000000"/>
                <w:sz w:val="22"/>
              </w:rPr>
              <w:t>Debt</w:t>
            </w:r>
          </w:p>
          <w:p w14:paraId="5E87F115" w14:textId="1AC7873B" w:rsidR="00474EF8" w:rsidRPr="00C73EBD" w:rsidRDefault="00474EF8" w:rsidP="00DE6038">
            <w:pPr>
              <w:ind w:firstLineChars="0" w:firstLine="0"/>
              <w:jc w:val="center"/>
              <w:rPr>
                <w:rFonts w:eastAsia="新細明體"/>
                <w:color w:val="000000"/>
                <w:sz w:val="22"/>
              </w:rPr>
            </w:pPr>
            <w:r w:rsidRPr="00C73EBD">
              <w:rPr>
                <w:rFonts w:eastAsia="新細明體" w:hint="eastAsia"/>
                <w:color w:val="000000"/>
                <w:sz w:val="22"/>
              </w:rPr>
              <w:t>ratio</w:t>
            </w:r>
            <w:r w:rsidRPr="00C73EBD">
              <w:rPr>
                <w:rFonts w:eastAsia="新細明體" w:hint="eastAsia"/>
                <w:color w:val="000000"/>
                <w:sz w:val="22"/>
              </w:rPr>
              <w:br/>
            </w:r>
          </w:p>
        </w:tc>
        <w:tc>
          <w:tcPr>
            <w:tcW w:w="465" w:type="pct"/>
            <w:noWrap/>
            <w:vAlign w:val="center"/>
            <w:hideMark/>
          </w:tcPr>
          <w:p w14:paraId="20389011"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0.31**</w:t>
            </w:r>
          </w:p>
        </w:tc>
        <w:tc>
          <w:tcPr>
            <w:tcW w:w="499" w:type="pct"/>
            <w:noWrap/>
            <w:vAlign w:val="center"/>
            <w:hideMark/>
          </w:tcPr>
          <w:p w14:paraId="34FBA30F"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-0.29**</w:t>
            </w:r>
          </w:p>
        </w:tc>
        <w:tc>
          <w:tcPr>
            <w:tcW w:w="499" w:type="pct"/>
            <w:noWrap/>
            <w:vAlign w:val="center"/>
            <w:hideMark/>
          </w:tcPr>
          <w:p w14:paraId="34AB49D8"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-0.17</w:t>
            </w:r>
          </w:p>
        </w:tc>
        <w:tc>
          <w:tcPr>
            <w:tcW w:w="415" w:type="pct"/>
            <w:noWrap/>
            <w:vAlign w:val="center"/>
            <w:hideMark/>
          </w:tcPr>
          <w:p w14:paraId="2A3CC3AE"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0.19</w:t>
            </w:r>
          </w:p>
        </w:tc>
        <w:tc>
          <w:tcPr>
            <w:tcW w:w="499" w:type="pct"/>
            <w:noWrap/>
            <w:vAlign w:val="center"/>
            <w:hideMark/>
          </w:tcPr>
          <w:p w14:paraId="782BA660"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0.27*</w:t>
            </w:r>
          </w:p>
        </w:tc>
        <w:tc>
          <w:tcPr>
            <w:tcW w:w="499" w:type="pct"/>
            <w:noWrap/>
            <w:vAlign w:val="center"/>
            <w:hideMark/>
          </w:tcPr>
          <w:p w14:paraId="3D9AAB9C"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-0.53***</w:t>
            </w:r>
          </w:p>
        </w:tc>
        <w:tc>
          <w:tcPr>
            <w:tcW w:w="465" w:type="pct"/>
            <w:noWrap/>
            <w:vAlign w:val="center"/>
            <w:hideMark/>
          </w:tcPr>
          <w:p w14:paraId="71B64787"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-0.19</w:t>
            </w:r>
          </w:p>
        </w:tc>
        <w:tc>
          <w:tcPr>
            <w:tcW w:w="438" w:type="pct"/>
            <w:noWrap/>
            <w:vAlign w:val="center"/>
            <w:hideMark/>
          </w:tcPr>
          <w:p w14:paraId="78E2E74C"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-0.26*</w:t>
            </w:r>
          </w:p>
        </w:tc>
        <w:tc>
          <w:tcPr>
            <w:tcW w:w="407" w:type="pct"/>
            <w:noWrap/>
            <w:vAlign w:val="center"/>
            <w:hideMark/>
          </w:tcPr>
          <w:p w14:paraId="33D0461F"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1.00</w:t>
            </w:r>
          </w:p>
        </w:tc>
        <w:tc>
          <w:tcPr>
            <w:tcW w:w="376" w:type="pct"/>
            <w:noWrap/>
            <w:vAlign w:val="center"/>
            <w:hideMark/>
          </w:tcPr>
          <w:p w14:paraId="581EE24F" w14:textId="77777777" w:rsidR="00474EF8" w:rsidRPr="00D4192C" w:rsidRDefault="00474EF8" w:rsidP="00DE6038">
            <w:pPr>
              <w:ind w:firstLineChars="0" w:firstLine="0"/>
              <w:rPr>
                <w:rFonts w:eastAsia="新細明體"/>
                <w:color w:val="000000"/>
                <w:sz w:val="16"/>
                <w:szCs w:val="16"/>
              </w:rPr>
            </w:pPr>
          </w:p>
        </w:tc>
      </w:tr>
      <w:tr w:rsidR="00D4192C" w:rsidRPr="00C73EBD" w14:paraId="475CB154" w14:textId="77777777" w:rsidTr="00D4192C">
        <w:trPr>
          <w:trHeight w:val="280"/>
        </w:trPr>
        <w:tc>
          <w:tcPr>
            <w:tcW w:w="438" w:type="pct"/>
            <w:noWrap/>
            <w:vAlign w:val="center"/>
            <w:hideMark/>
          </w:tcPr>
          <w:p w14:paraId="3BF35808" w14:textId="77777777" w:rsidR="00474EF8" w:rsidRPr="00C73EBD" w:rsidRDefault="00474EF8" w:rsidP="00DE6038">
            <w:pPr>
              <w:ind w:firstLineChars="0" w:firstLine="0"/>
              <w:jc w:val="center"/>
              <w:rPr>
                <w:rFonts w:eastAsia="新細明體"/>
                <w:color w:val="000000"/>
                <w:sz w:val="22"/>
              </w:rPr>
            </w:pPr>
            <w:r w:rsidRPr="00C73EBD">
              <w:rPr>
                <w:rFonts w:eastAsia="新細明體" w:hint="eastAsia"/>
                <w:color w:val="000000"/>
                <w:sz w:val="22"/>
              </w:rPr>
              <w:t>Size</w:t>
            </w:r>
          </w:p>
        </w:tc>
        <w:tc>
          <w:tcPr>
            <w:tcW w:w="465" w:type="pct"/>
            <w:noWrap/>
            <w:vAlign w:val="center"/>
            <w:hideMark/>
          </w:tcPr>
          <w:p w14:paraId="01850FEA"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-0.13</w:t>
            </w:r>
          </w:p>
        </w:tc>
        <w:tc>
          <w:tcPr>
            <w:tcW w:w="499" w:type="pct"/>
            <w:noWrap/>
            <w:vAlign w:val="center"/>
            <w:hideMark/>
          </w:tcPr>
          <w:p w14:paraId="68C031C9"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0.06</w:t>
            </w:r>
          </w:p>
        </w:tc>
        <w:tc>
          <w:tcPr>
            <w:tcW w:w="499" w:type="pct"/>
            <w:noWrap/>
            <w:vAlign w:val="center"/>
            <w:hideMark/>
          </w:tcPr>
          <w:p w14:paraId="3042EB8D"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0.15</w:t>
            </w:r>
          </w:p>
        </w:tc>
        <w:tc>
          <w:tcPr>
            <w:tcW w:w="415" w:type="pct"/>
            <w:noWrap/>
            <w:vAlign w:val="center"/>
            <w:hideMark/>
          </w:tcPr>
          <w:p w14:paraId="12534503"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-0.08</w:t>
            </w:r>
          </w:p>
        </w:tc>
        <w:tc>
          <w:tcPr>
            <w:tcW w:w="499" w:type="pct"/>
            <w:noWrap/>
            <w:vAlign w:val="center"/>
            <w:hideMark/>
          </w:tcPr>
          <w:p w14:paraId="1F8B2DD4"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-0.42***</w:t>
            </w:r>
          </w:p>
        </w:tc>
        <w:tc>
          <w:tcPr>
            <w:tcW w:w="499" w:type="pct"/>
            <w:noWrap/>
            <w:vAlign w:val="center"/>
            <w:hideMark/>
          </w:tcPr>
          <w:p w14:paraId="3969D829"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0.26*</w:t>
            </w:r>
          </w:p>
        </w:tc>
        <w:tc>
          <w:tcPr>
            <w:tcW w:w="465" w:type="pct"/>
            <w:noWrap/>
            <w:vAlign w:val="center"/>
            <w:hideMark/>
          </w:tcPr>
          <w:p w14:paraId="2C9674F0"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0.37***</w:t>
            </w:r>
          </w:p>
        </w:tc>
        <w:tc>
          <w:tcPr>
            <w:tcW w:w="438" w:type="pct"/>
            <w:noWrap/>
            <w:vAlign w:val="center"/>
            <w:hideMark/>
          </w:tcPr>
          <w:p w14:paraId="2310DF13"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-0.07</w:t>
            </w:r>
          </w:p>
        </w:tc>
        <w:tc>
          <w:tcPr>
            <w:tcW w:w="407" w:type="pct"/>
            <w:noWrap/>
            <w:vAlign w:val="center"/>
            <w:hideMark/>
          </w:tcPr>
          <w:p w14:paraId="594AA51B"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0.12</w:t>
            </w:r>
          </w:p>
        </w:tc>
        <w:tc>
          <w:tcPr>
            <w:tcW w:w="376" w:type="pct"/>
            <w:noWrap/>
            <w:vAlign w:val="center"/>
            <w:hideMark/>
          </w:tcPr>
          <w:p w14:paraId="1FACE868" w14:textId="77777777" w:rsidR="00474EF8" w:rsidRPr="00D4192C" w:rsidRDefault="00474EF8" w:rsidP="00DE6038">
            <w:pPr>
              <w:ind w:firstLineChars="0" w:firstLine="0"/>
              <w:rPr>
                <w:rFonts w:eastAsia="新細明體"/>
                <w:color w:val="000000"/>
                <w:sz w:val="16"/>
                <w:szCs w:val="16"/>
              </w:rPr>
            </w:pPr>
            <w:r w:rsidRPr="00D4192C">
              <w:rPr>
                <w:rFonts w:eastAsia="新細明體" w:hint="eastAsia"/>
                <w:color w:val="000000"/>
                <w:sz w:val="16"/>
                <w:szCs w:val="16"/>
              </w:rPr>
              <w:t>1.00</w:t>
            </w:r>
          </w:p>
        </w:tc>
      </w:tr>
    </w:tbl>
    <w:p w14:paraId="3CB75CE6" w14:textId="72DD1292" w:rsidR="00DE6038" w:rsidRDefault="00474EF8" w:rsidP="000D02C5">
      <w:pPr>
        <w:ind w:firstLineChars="0" w:firstLine="0"/>
        <w:rPr>
          <w:rFonts w:eastAsia="新細明體"/>
          <w:color w:val="000000"/>
          <w:sz w:val="22"/>
        </w:rPr>
      </w:pPr>
      <w:r>
        <w:rPr>
          <w:rFonts w:hint="eastAsia"/>
        </w:rPr>
        <w:t>N</w:t>
      </w:r>
      <w:r>
        <w:t>o</w:t>
      </w:r>
      <w:r>
        <w:rPr>
          <w:rFonts w:hint="eastAsia"/>
        </w:rPr>
        <w:t>t</w:t>
      </w:r>
      <w:r w:rsidRPr="0044165A">
        <w:rPr>
          <w:rFonts w:hint="eastAsia"/>
        </w:rPr>
        <w:t>e</w:t>
      </w:r>
      <w:r w:rsidR="000D02C5">
        <w:t>s</w:t>
      </w:r>
      <w:r w:rsidRPr="0044165A">
        <w:rPr>
          <w:rFonts w:hint="eastAsia"/>
        </w:rPr>
        <w:t xml:space="preserve"> 1</w:t>
      </w:r>
      <w:r w:rsidR="000D02C5">
        <w:t>.</w:t>
      </w:r>
      <w:r w:rsidRPr="0044165A">
        <w:rPr>
          <w:rFonts w:hint="eastAsia"/>
        </w:rPr>
        <w:t xml:space="preserve"> P value&lt;0.1 represents *; &lt;0.05**; &lt;0.01***</w:t>
      </w:r>
      <w:r w:rsidR="000D02C5">
        <w:t xml:space="preserve">, </w:t>
      </w:r>
      <w:r w:rsidRPr="00CF0A02">
        <w:rPr>
          <w:rFonts w:hint="eastAsia"/>
        </w:rPr>
        <w:t>2</w:t>
      </w:r>
      <w:r w:rsidR="000D02C5">
        <w:t>.</w:t>
      </w:r>
      <w:r w:rsidRPr="00CF0A02">
        <w:rPr>
          <w:rFonts w:hint="eastAsia"/>
        </w:rPr>
        <w:t xml:space="preserve"> Stock In</w:t>
      </w:r>
      <w:r>
        <w:rPr>
          <w:rFonts w:hint="eastAsia"/>
        </w:rPr>
        <w:t>v</w:t>
      </w:r>
      <w:r w:rsidRPr="00CF0A02">
        <w:rPr>
          <w:rFonts w:hint="eastAsia"/>
        </w:rPr>
        <w:t>estment Return (</w:t>
      </w:r>
      <w:proofErr w:type="spellStart"/>
      <w:r w:rsidRPr="00CF0A02">
        <w:rPr>
          <w:rFonts w:hint="eastAsia"/>
        </w:rPr>
        <w:t>Stk</w:t>
      </w:r>
      <w:proofErr w:type="spellEnd"/>
      <w:r w:rsidRPr="00CF0A02">
        <w:rPr>
          <w:rFonts w:hint="eastAsia"/>
        </w:rPr>
        <w:t xml:space="preserve">), </w:t>
      </w:r>
      <w:r>
        <w:rPr>
          <w:rFonts w:hint="eastAsia"/>
        </w:rPr>
        <w:t>S</w:t>
      </w:r>
      <w:r w:rsidRPr="00CF0A02">
        <w:rPr>
          <w:rFonts w:hint="eastAsia"/>
        </w:rPr>
        <w:t xml:space="preserve">tock Risk Coefficient </w:t>
      </w:r>
      <w:r>
        <w:rPr>
          <w:rFonts w:hint="eastAsia"/>
        </w:rPr>
        <w:t>(</w:t>
      </w:r>
      <w:r w:rsidRPr="00CF0A02">
        <w:rPr>
          <w:rFonts w:hint="eastAsia"/>
        </w:rPr>
        <w:t>Beta), Price-to-Bo</w:t>
      </w:r>
      <w:r>
        <w:rPr>
          <w:rFonts w:hint="eastAsia"/>
        </w:rPr>
        <w:t>o</w:t>
      </w:r>
      <w:r w:rsidRPr="00CF0A02">
        <w:rPr>
          <w:rFonts w:hint="eastAsia"/>
        </w:rPr>
        <w:t>k Ratio</w:t>
      </w:r>
      <w:r w:rsidR="000D02C5">
        <w:t xml:space="preserve"> </w:t>
      </w:r>
      <w:r w:rsidRPr="00CF0A02">
        <w:rPr>
          <w:rFonts w:hint="eastAsia"/>
        </w:rPr>
        <w:t>(PB), Intere</w:t>
      </w:r>
      <w:r>
        <w:rPr>
          <w:rFonts w:hint="eastAsia"/>
        </w:rPr>
        <w:t>s</w:t>
      </w:r>
      <w:r w:rsidRPr="00CF0A02">
        <w:rPr>
          <w:rFonts w:hint="eastAsia"/>
        </w:rPr>
        <w:t>t Expense Ratio (INT), R</w:t>
      </w:r>
      <w:r>
        <w:rPr>
          <w:rFonts w:hint="eastAsia"/>
        </w:rPr>
        <w:t>e</w:t>
      </w:r>
      <w:r w:rsidRPr="00CF0A02">
        <w:rPr>
          <w:rFonts w:hint="eastAsia"/>
        </w:rPr>
        <w:t>turn on Assets (ROA)</w:t>
      </w:r>
      <w:r>
        <w:rPr>
          <w:rFonts w:hint="eastAsia"/>
        </w:rPr>
        <w:t>,</w:t>
      </w:r>
      <w:r w:rsidRPr="00CF0A02">
        <w:rPr>
          <w:rFonts w:hint="eastAsia"/>
        </w:rPr>
        <w:t xml:space="preserve"> Return on Equity (R</w:t>
      </w:r>
      <w:r>
        <w:rPr>
          <w:rFonts w:hint="eastAsia"/>
        </w:rPr>
        <w:t>O</w:t>
      </w:r>
      <w:r w:rsidRPr="00CF0A02">
        <w:rPr>
          <w:rFonts w:hint="eastAsia"/>
        </w:rPr>
        <w:t>E), Revenue Growth Rat</w:t>
      </w:r>
      <w:r>
        <w:rPr>
          <w:rFonts w:hint="eastAsia"/>
        </w:rPr>
        <w:t>e (YOY), Deb</w:t>
      </w:r>
      <w:r w:rsidRPr="00C73EBD">
        <w:rPr>
          <w:rFonts w:eastAsia="新細明體" w:hint="eastAsia"/>
          <w:color w:val="000000"/>
          <w:sz w:val="22"/>
        </w:rPr>
        <w:t>t Ratio</w:t>
      </w:r>
      <w:r>
        <w:rPr>
          <w:rFonts w:eastAsia="新細明體"/>
          <w:color w:val="000000"/>
          <w:sz w:val="22"/>
        </w:rPr>
        <w:t>,</w:t>
      </w:r>
      <w:r>
        <w:rPr>
          <w:rFonts w:eastAsia="新細明體" w:hint="eastAsia"/>
          <w:color w:val="000000"/>
          <w:sz w:val="22"/>
        </w:rPr>
        <w:t xml:space="preserve"> Company Size (Size).</w:t>
      </w:r>
      <w:bookmarkStart w:id="31" w:name="_Toc113394903"/>
    </w:p>
    <w:p w14:paraId="630C0E0F" w14:textId="77777777" w:rsidR="000D02C5" w:rsidRPr="000D02C5" w:rsidRDefault="000D02C5" w:rsidP="00DE6038">
      <w:pPr>
        <w:ind w:left="550" w:hangingChars="250" w:hanging="550"/>
        <w:rPr>
          <w:rFonts w:eastAsia="新細明體"/>
          <w:color w:val="000000"/>
          <w:sz w:val="22"/>
        </w:rPr>
      </w:pPr>
    </w:p>
    <w:p w14:paraId="6173B8AC" w14:textId="49B7F48B" w:rsidR="00474EF8" w:rsidRPr="00D22BB0" w:rsidRDefault="00DE6038" w:rsidP="00DE6038">
      <w:pPr>
        <w:ind w:left="600" w:hangingChars="250" w:hanging="600"/>
        <w:rPr>
          <w:rFonts w:eastAsia="新細明體"/>
          <w:color w:val="000000"/>
          <w:szCs w:val="24"/>
        </w:rPr>
      </w:pPr>
      <w:r w:rsidRPr="00D22BB0">
        <w:rPr>
          <w:rFonts w:eastAsia="新細明體" w:hint="eastAsia"/>
          <w:color w:val="000000"/>
          <w:szCs w:val="24"/>
        </w:rPr>
        <w:t>4</w:t>
      </w:r>
      <w:r w:rsidR="00D4192C" w:rsidRPr="00D22BB0">
        <w:rPr>
          <w:rFonts w:eastAsia="新細明體"/>
          <w:color w:val="000000"/>
          <w:szCs w:val="24"/>
        </w:rPr>
        <w:t>.</w:t>
      </w:r>
      <w:r w:rsidRPr="00D22BB0">
        <w:rPr>
          <w:rFonts w:eastAsia="新細明體" w:hint="eastAsia"/>
          <w:color w:val="000000"/>
          <w:szCs w:val="24"/>
        </w:rPr>
        <w:t>5 Empiri</w:t>
      </w:r>
      <w:r w:rsidR="00474EF8" w:rsidRPr="00D22BB0">
        <w:rPr>
          <w:rFonts w:hint="eastAsia"/>
          <w:szCs w:val="24"/>
        </w:rPr>
        <w:t>cal Results Analysis</w:t>
      </w:r>
      <w:bookmarkEnd w:id="31"/>
    </w:p>
    <w:p w14:paraId="2F808583" w14:textId="0F6016AD" w:rsidR="00474EF8" w:rsidRDefault="00DE6038" w:rsidP="00DE6038">
      <w:pPr>
        <w:ind w:firstLineChars="0" w:firstLine="0"/>
      </w:pPr>
      <w:bookmarkStart w:id="32" w:name="_Toc113394904"/>
      <w:r>
        <w:rPr>
          <w:rFonts w:hint="eastAsia"/>
        </w:rPr>
        <w:t>4</w:t>
      </w:r>
      <w:r w:rsidR="00D4192C">
        <w:t>.</w:t>
      </w:r>
      <w:r>
        <w:rPr>
          <w:rFonts w:hint="eastAsia"/>
        </w:rPr>
        <w:t>5</w:t>
      </w:r>
      <w:r w:rsidR="00D4192C">
        <w:t>.</w:t>
      </w:r>
      <w:r>
        <w:rPr>
          <w:rFonts w:hint="eastAsia"/>
        </w:rPr>
        <w:t>1 Model Evalu</w:t>
      </w:r>
      <w:r w:rsidR="00474EF8">
        <w:rPr>
          <w:rFonts w:hint="eastAsia"/>
        </w:rPr>
        <w:t>ation and Probability Prediction</w:t>
      </w:r>
      <w:bookmarkEnd w:id="32"/>
    </w:p>
    <w:p w14:paraId="708EC30F" w14:textId="5D5F02F2" w:rsidR="00474EF8" w:rsidRDefault="00474EF8" w:rsidP="00474EF8">
      <w:pPr>
        <w:pStyle w:val="a0"/>
      </w:pPr>
      <w:r>
        <w:rPr>
          <w:rFonts w:hint="eastAsia"/>
        </w:rPr>
        <w:t xml:space="preserve">To predict the probability of life insurance companies </w:t>
      </w:r>
      <w:r w:rsidRPr="003D3E91">
        <w:rPr>
          <w:rFonts w:hint="eastAsia"/>
        </w:rPr>
        <w:t>falling into each of the three solvency ratio grades in the future, this</w:t>
      </w:r>
      <w:r>
        <w:rPr>
          <w:rFonts w:hint="eastAsia"/>
        </w:rPr>
        <w:t xml:space="preserve"> study uses the proportional odds model to calculate the risk factors of financial holding companies. The prediction results are shown i</w:t>
      </w:r>
      <w:r>
        <w:t xml:space="preserve">n </w:t>
      </w:r>
      <w:r w:rsidR="00612B00">
        <w:t xml:space="preserve">Table </w:t>
      </w:r>
      <w:r w:rsidR="005376CF">
        <w:t>3</w:t>
      </w:r>
      <w:r>
        <w:t xml:space="preserve"> </w:t>
      </w:r>
      <w:r>
        <w:rPr>
          <w:rFonts w:hint="eastAsia"/>
        </w:rPr>
        <w:t>below</w:t>
      </w:r>
      <w:r w:rsidR="0052127E">
        <w:t>.</w:t>
      </w:r>
    </w:p>
    <w:p w14:paraId="0295AAC9" w14:textId="5C3C3EB8" w:rsidR="0052127E" w:rsidRDefault="0052127E" w:rsidP="0052127E">
      <w:pPr>
        <w:ind w:firstLine="480"/>
      </w:pPr>
      <w:r>
        <w:t>Regarding</w:t>
      </w:r>
      <w:r>
        <w:rPr>
          <w:rFonts w:hint="eastAsia"/>
        </w:rPr>
        <w:t xml:space="preserve"> the predicted results, only the life insurance companies of Fubon Financial and Cooperative Financial Holdings may reach a solvency ratio rating of A in the future</w:t>
      </w:r>
      <w:r>
        <w:t>. F</w:t>
      </w:r>
      <w:r>
        <w:rPr>
          <w:rFonts w:hint="eastAsia"/>
        </w:rPr>
        <w:t xml:space="preserve">ubon </w:t>
      </w:r>
      <w:proofErr w:type="spellStart"/>
      <w:r>
        <w:rPr>
          <w:rFonts w:hint="eastAsia"/>
        </w:rPr>
        <w:t>Financial's</w:t>
      </w:r>
      <w:proofErr w:type="spellEnd"/>
      <w:r>
        <w:rPr>
          <w:rFonts w:hint="eastAsia"/>
        </w:rPr>
        <w:t xml:space="preserve"> better earnings capacity can be seen from the box plots of stock risk and operational risk items, making it reasonable to infer that the company's life insurance company is financially sound. In contrast, for Cooperative Financial Holdings, although its life insurance company's solvency ratio rating has always been A,</w:t>
      </w:r>
      <w:r>
        <w:t xml:space="preserve"> it</w:t>
      </w:r>
      <w:r>
        <w:rPr>
          <w:rFonts w:hint="eastAsia"/>
        </w:rPr>
        <w:t xml:space="preserve">s earnings capacity in terms of stock risk, liquidity risk, and operational risk is poorer compared to other financial holdings companies. This indicates that Cooperative </w:t>
      </w:r>
      <w:proofErr w:type="spellStart"/>
      <w:r>
        <w:rPr>
          <w:rFonts w:hint="eastAsia"/>
        </w:rPr>
        <w:t>Financial's</w:t>
      </w:r>
      <w:proofErr w:type="spellEnd"/>
      <w:r>
        <w:rPr>
          <w:rFonts w:hint="eastAsia"/>
        </w:rPr>
        <w:t xml:space="preserve"> earnings capacity and asset utilization are ineffective. From a long-term perspective, this situation is unfavorable for high financial leverage industries such as </w:t>
      </w:r>
      <w:r>
        <w:rPr>
          <w:rFonts w:hint="eastAsia"/>
        </w:rPr>
        <w:lastRenderedPageBreak/>
        <w:t>finance and insurance.</w:t>
      </w:r>
      <w:bookmarkStart w:id="33" w:name="_Toc113394920"/>
    </w:p>
    <w:p w14:paraId="30B93F7E" w14:textId="77777777" w:rsidR="0052127E" w:rsidRDefault="0052127E" w:rsidP="00474EF8">
      <w:pPr>
        <w:pStyle w:val="a2"/>
        <w:ind w:firstLine="480"/>
      </w:pPr>
    </w:p>
    <w:p w14:paraId="2FDE19CD" w14:textId="3CDFA50E" w:rsidR="00474EF8" w:rsidRDefault="00612B00" w:rsidP="00474EF8">
      <w:pPr>
        <w:pStyle w:val="a2"/>
        <w:ind w:firstLine="480"/>
      </w:pPr>
      <w:r>
        <w:rPr>
          <w:rFonts w:hint="eastAsia"/>
        </w:rPr>
        <w:t xml:space="preserve">Table </w:t>
      </w:r>
      <w:r w:rsidR="005376CF">
        <w:t>3</w:t>
      </w:r>
      <w:r w:rsidR="00474EF8">
        <w:rPr>
          <w:rFonts w:hint="eastAsia"/>
        </w:rPr>
        <w:t xml:space="preserve"> Prediction Results of Life Insurance Solvency Ratio Grades for Financial Holding Companies</w:t>
      </w:r>
      <w:r w:rsidR="00474EF8">
        <w:fldChar w:fldCharType="begin"/>
      </w:r>
      <w:r w:rsidR="00474EF8">
        <w:instrText xml:space="preserve"> </w:instrText>
      </w:r>
      <w:r w:rsidR="00474EF8">
        <w:rPr>
          <w:rFonts w:hint="eastAsia"/>
        </w:rPr>
        <w:instrText xml:space="preserve">SEQ </w:instrText>
      </w:r>
      <w:r w:rsidR="00474EF8">
        <w:rPr>
          <w:rFonts w:hint="eastAsia"/>
        </w:rPr>
        <w:instrText>表</w:instrText>
      </w:r>
      <w:r w:rsidR="00474EF8">
        <w:rPr>
          <w:rFonts w:hint="eastAsia"/>
        </w:rPr>
        <w:instrText>4. \* ARABIC</w:instrText>
      </w:r>
      <w:r w:rsidR="00474EF8">
        <w:instrText xml:space="preserve"> </w:instrText>
      </w:r>
      <w:r w:rsidR="00000000">
        <w:fldChar w:fldCharType="separate"/>
      </w:r>
      <w:r w:rsidR="00474EF8">
        <w:fldChar w:fldCharType="end"/>
      </w:r>
      <w:bookmarkEnd w:id="33"/>
    </w:p>
    <w:tbl>
      <w:tblPr>
        <w:tblStyle w:val="TableGrid"/>
        <w:tblW w:w="5000" w:type="pct"/>
        <w:tblLook w:val="04A0" w:firstRow="1" w:lastRow="0" w:firstColumn="1" w:lastColumn="0" w:noHBand="0" w:noVBand="1"/>
      </w:tblPr>
      <w:tblGrid>
        <w:gridCol w:w="1625"/>
        <w:gridCol w:w="1625"/>
        <w:gridCol w:w="1625"/>
        <w:gridCol w:w="1625"/>
        <w:gridCol w:w="1796"/>
      </w:tblGrid>
      <w:tr w:rsidR="00D4192C" w14:paraId="1D7BB806" w14:textId="77777777" w:rsidTr="00D4192C">
        <w:tc>
          <w:tcPr>
            <w:tcW w:w="979" w:type="pct"/>
            <w:vAlign w:val="center"/>
          </w:tcPr>
          <w:p w14:paraId="769090FB" w14:textId="431A2AFC" w:rsidR="00474EF8" w:rsidRDefault="00474EF8" w:rsidP="00D4192C">
            <w:pPr>
              <w:ind w:firstLineChars="0" w:firstLine="0"/>
            </w:pPr>
            <w:r>
              <w:rPr>
                <w:rFonts w:hint="eastAsia"/>
              </w:rPr>
              <w:t>Company</w:t>
            </w:r>
            <w:r w:rsidR="00D4192C">
              <w:t xml:space="preserve"> </w:t>
            </w:r>
            <w:r>
              <w:rPr>
                <w:rFonts w:hint="eastAsia"/>
              </w:rPr>
              <w:t>Name</w:t>
            </w:r>
          </w:p>
        </w:tc>
        <w:tc>
          <w:tcPr>
            <w:tcW w:w="979" w:type="pct"/>
            <w:vAlign w:val="center"/>
          </w:tcPr>
          <w:p w14:paraId="2316E047" w14:textId="0AEA3CF6" w:rsidR="00474EF8" w:rsidRDefault="00474EF8" w:rsidP="00D4192C">
            <w:pPr>
              <w:ind w:firstLineChars="0" w:firstLine="0"/>
            </w:pPr>
            <w:r>
              <w:rPr>
                <w:rFonts w:hint="eastAsia"/>
              </w:rPr>
              <w:t>Life</w:t>
            </w:r>
            <w:r w:rsidR="00D4192C">
              <w:t xml:space="preserve"> I</w:t>
            </w:r>
            <w:r>
              <w:rPr>
                <w:rFonts w:hint="eastAsia"/>
              </w:rPr>
              <w:t>nsurance Company Solvency Ratio Rating A</w:t>
            </w:r>
            <w:r>
              <w:br/>
            </w:r>
          </w:p>
        </w:tc>
        <w:tc>
          <w:tcPr>
            <w:tcW w:w="979" w:type="pct"/>
            <w:vAlign w:val="center"/>
          </w:tcPr>
          <w:p w14:paraId="3FA6B745" w14:textId="77777777" w:rsidR="00474EF8" w:rsidRDefault="00474EF8" w:rsidP="00D4192C">
            <w:pPr>
              <w:ind w:firstLineChars="0" w:firstLine="0"/>
            </w:pPr>
            <w:r>
              <w:rPr>
                <w:rFonts w:hint="eastAsia"/>
              </w:rPr>
              <w:t>Life Insurance Company Solvency Ratio Rating B</w:t>
            </w:r>
          </w:p>
        </w:tc>
        <w:tc>
          <w:tcPr>
            <w:tcW w:w="979" w:type="pct"/>
            <w:vAlign w:val="center"/>
          </w:tcPr>
          <w:p w14:paraId="79D1A3BC" w14:textId="77777777" w:rsidR="00474EF8" w:rsidRDefault="00474EF8" w:rsidP="00D4192C">
            <w:pPr>
              <w:ind w:firstLineChars="0" w:firstLine="0"/>
            </w:pPr>
            <w:r>
              <w:rPr>
                <w:rFonts w:hint="eastAsia"/>
              </w:rPr>
              <w:t>Life Insurance Company Solvency Ratio Rating C</w:t>
            </w:r>
            <w:r>
              <w:br/>
            </w:r>
          </w:p>
        </w:tc>
        <w:tc>
          <w:tcPr>
            <w:tcW w:w="1082" w:type="pct"/>
            <w:vAlign w:val="center"/>
          </w:tcPr>
          <w:p w14:paraId="7A83630C" w14:textId="77777777" w:rsidR="00474EF8" w:rsidRDefault="00474EF8" w:rsidP="00D4192C">
            <w:pPr>
              <w:ind w:firstLineChars="0" w:firstLine="0"/>
              <w:jc w:val="left"/>
            </w:pPr>
            <w:r>
              <w:rPr>
                <w:rFonts w:hint="eastAsia"/>
              </w:rPr>
              <w:t>Life Insurance Company Solvency Ratio Rating Predicted Result</w:t>
            </w:r>
          </w:p>
        </w:tc>
      </w:tr>
      <w:tr w:rsidR="00D4192C" w14:paraId="338E8C2C" w14:textId="77777777" w:rsidTr="00D4192C">
        <w:tc>
          <w:tcPr>
            <w:tcW w:w="979" w:type="pct"/>
            <w:vAlign w:val="center"/>
          </w:tcPr>
          <w:p w14:paraId="2E4F90FA" w14:textId="6C737D21" w:rsidR="00474EF8" w:rsidRDefault="00474EF8" w:rsidP="00D4192C">
            <w:pPr>
              <w:ind w:firstLineChars="0" w:firstLine="0"/>
            </w:pPr>
            <w:r>
              <w:rPr>
                <w:rFonts w:hint="eastAsia"/>
              </w:rPr>
              <w:t>Fubon</w:t>
            </w:r>
            <w:r w:rsidR="00D4192C">
              <w:t xml:space="preserve"> </w:t>
            </w:r>
            <w:r>
              <w:rPr>
                <w:rFonts w:hint="eastAsia"/>
              </w:rPr>
              <w:t>Financial</w:t>
            </w:r>
          </w:p>
        </w:tc>
        <w:tc>
          <w:tcPr>
            <w:tcW w:w="979" w:type="pct"/>
            <w:vAlign w:val="center"/>
          </w:tcPr>
          <w:p w14:paraId="3D7995A5" w14:textId="77777777" w:rsidR="00474EF8" w:rsidRDefault="00474EF8" w:rsidP="00D932B6">
            <w:pPr>
              <w:ind w:firstLine="440"/>
              <w:jc w:val="center"/>
            </w:pPr>
            <w:r>
              <w:rPr>
                <w:rFonts w:hint="eastAsia"/>
                <w:color w:val="000000"/>
                <w:sz w:val="22"/>
              </w:rPr>
              <w:t>0.503</w:t>
            </w:r>
          </w:p>
        </w:tc>
        <w:tc>
          <w:tcPr>
            <w:tcW w:w="979" w:type="pct"/>
            <w:vAlign w:val="center"/>
          </w:tcPr>
          <w:p w14:paraId="7C6EB813" w14:textId="77777777" w:rsidR="00474EF8" w:rsidRDefault="00474EF8" w:rsidP="00D932B6">
            <w:pPr>
              <w:ind w:firstLine="440"/>
              <w:jc w:val="center"/>
            </w:pPr>
            <w:r>
              <w:rPr>
                <w:rFonts w:hint="eastAsia"/>
                <w:color w:val="000000"/>
                <w:sz w:val="22"/>
              </w:rPr>
              <w:t>0.402</w:t>
            </w:r>
          </w:p>
        </w:tc>
        <w:tc>
          <w:tcPr>
            <w:tcW w:w="979" w:type="pct"/>
            <w:vAlign w:val="center"/>
          </w:tcPr>
          <w:p w14:paraId="3E98A8A3" w14:textId="77777777" w:rsidR="00474EF8" w:rsidRDefault="00474EF8" w:rsidP="00D932B6">
            <w:pPr>
              <w:ind w:firstLine="440"/>
              <w:jc w:val="center"/>
            </w:pPr>
            <w:r>
              <w:rPr>
                <w:rFonts w:hint="eastAsia"/>
                <w:color w:val="000000"/>
                <w:sz w:val="22"/>
              </w:rPr>
              <w:t>0.095</w:t>
            </w:r>
          </w:p>
        </w:tc>
        <w:tc>
          <w:tcPr>
            <w:tcW w:w="1082" w:type="pct"/>
            <w:vAlign w:val="center"/>
          </w:tcPr>
          <w:p w14:paraId="018A5940" w14:textId="77777777" w:rsidR="00474EF8" w:rsidRPr="00007476" w:rsidRDefault="00474EF8" w:rsidP="00D932B6">
            <w:pPr>
              <w:ind w:firstLine="440"/>
              <w:jc w:val="center"/>
              <w:rPr>
                <w:rFonts w:eastAsia="新細明體"/>
                <w:color w:val="000000"/>
                <w:sz w:val="22"/>
              </w:rPr>
            </w:pPr>
            <w:r>
              <w:rPr>
                <w:rFonts w:hint="eastAsia"/>
                <w:color w:val="000000"/>
                <w:sz w:val="22"/>
              </w:rPr>
              <w:t>A</w:t>
            </w:r>
          </w:p>
        </w:tc>
      </w:tr>
      <w:tr w:rsidR="00D4192C" w14:paraId="775F8E3A" w14:textId="77777777" w:rsidTr="00D4192C">
        <w:tc>
          <w:tcPr>
            <w:tcW w:w="979" w:type="pct"/>
            <w:vAlign w:val="center"/>
          </w:tcPr>
          <w:p w14:paraId="7EA435FE" w14:textId="77777777" w:rsidR="00474EF8" w:rsidRDefault="00474EF8" w:rsidP="00D4192C">
            <w:pPr>
              <w:ind w:firstLineChars="0" w:firstLine="0"/>
            </w:pPr>
            <w:r>
              <w:rPr>
                <w:rFonts w:hint="eastAsia"/>
              </w:rPr>
              <w:t>Cathay Financial</w:t>
            </w:r>
          </w:p>
        </w:tc>
        <w:tc>
          <w:tcPr>
            <w:tcW w:w="979" w:type="pct"/>
            <w:vAlign w:val="center"/>
          </w:tcPr>
          <w:p w14:paraId="7CB85DF3" w14:textId="77777777" w:rsidR="00474EF8" w:rsidRDefault="00474EF8" w:rsidP="00D932B6">
            <w:pPr>
              <w:ind w:firstLine="440"/>
              <w:jc w:val="center"/>
            </w:pPr>
            <w:r>
              <w:rPr>
                <w:rFonts w:hint="eastAsia"/>
                <w:color w:val="000000"/>
                <w:sz w:val="22"/>
              </w:rPr>
              <w:t>0.195</w:t>
            </w:r>
          </w:p>
        </w:tc>
        <w:tc>
          <w:tcPr>
            <w:tcW w:w="979" w:type="pct"/>
            <w:vAlign w:val="center"/>
          </w:tcPr>
          <w:p w14:paraId="47F9217F" w14:textId="77777777" w:rsidR="00474EF8" w:rsidRDefault="00474EF8" w:rsidP="00D932B6">
            <w:pPr>
              <w:ind w:firstLine="440"/>
              <w:jc w:val="center"/>
            </w:pPr>
            <w:r>
              <w:rPr>
                <w:rFonts w:hint="eastAsia"/>
                <w:color w:val="000000"/>
                <w:sz w:val="22"/>
              </w:rPr>
              <w:t>0.501</w:t>
            </w:r>
          </w:p>
        </w:tc>
        <w:tc>
          <w:tcPr>
            <w:tcW w:w="979" w:type="pct"/>
            <w:vAlign w:val="center"/>
          </w:tcPr>
          <w:p w14:paraId="3B86E678" w14:textId="77777777" w:rsidR="00474EF8" w:rsidRDefault="00474EF8" w:rsidP="00D932B6">
            <w:pPr>
              <w:ind w:firstLine="440"/>
              <w:jc w:val="center"/>
            </w:pPr>
            <w:r>
              <w:rPr>
                <w:rFonts w:hint="eastAsia"/>
                <w:color w:val="000000"/>
                <w:sz w:val="22"/>
              </w:rPr>
              <w:t>0.304</w:t>
            </w:r>
          </w:p>
        </w:tc>
        <w:tc>
          <w:tcPr>
            <w:tcW w:w="1082" w:type="pct"/>
            <w:vAlign w:val="center"/>
          </w:tcPr>
          <w:p w14:paraId="4144618F" w14:textId="77777777" w:rsidR="00474EF8" w:rsidRPr="00007476" w:rsidRDefault="00474EF8" w:rsidP="00D932B6">
            <w:pPr>
              <w:ind w:firstLine="440"/>
              <w:jc w:val="center"/>
              <w:rPr>
                <w:rFonts w:eastAsia="新細明體"/>
                <w:color w:val="000000"/>
                <w:sz w:val="22"/>
              </w:rPr>
            </w:pPr>
            <w:r>
              <w:rPr>
                <w:rFonts w:hint="eastAsia"/>
                <w:color w:val="000000"/>
                <w:sz w:val="22"/>
              </w:rPr>
              <w:t>B</w:t>
            </w:r>
          </w:p>
        </w:tc>
      </w:tr>
      <w:tr w:rsidR="00D4192C" w14:paraId="7933B36E" w14:textId="77777777" w:rsidTr="00D4192C">
        <w:tc>
          <w:tcPr>
            <w:tcW w:w="979" w:type="pct"/>
            <w:vAlign w:val="center"/>
          </w:tcPr>
          <w:p w14:paraId="27E03AC3" w14:textId="77777777" w:rsidR="00474EF8" w:rsidRDefault="00474EF8" w:rsidP="00D4192C">
            <w:pPr>
              <w:ind w:firstLineChars="0" w:firstLine="0"/>
            </w:pPr>
            <w:r>
              <w:rPr>
                <w:rFonts w:hint="eastAsia"/>
              </w:rPr>
              <w:t>Development Financial</w:t>
            </w:r>
          </w:p>
        </w:tc>
        <w:tc>
          <w:tcPr>
            <w:tcW w:w="979" w:type="pct"/>
            <w:vAlign w:val="center"/>
          </w:tcPr>
          <w:p w14:paraId="603B0FB3" w14:textId="77777777" w:rsidR="00474EF8" w:rsidRDefault="00474EF8" w:rsidP="00D932B6">
            <w:pPr>
              <w:ind w:firstLine="440"/>
              <w:jc w:val="center"/>
            </w:pPr>
            <w:r>
              <w:rPr>
                <w:rFonts w:hint="eastAsia"/>
                <w:color w:val="000000"/>
                <w:sz w:val="22"/>
              </w:rPr>
              <w:t>0.374</w:t>
            </w:r>
          </w:p>
        </w:tc>
        <w:tc>
          <w:tcPr>
            <w:tcW w:w="979" w:type="pct"/>
            <w:vAlign w:val="center"/>
          </w:tcPr>
          <w:p w14:paraId="54D61D18" w14:textId="77777777" w:rsidR="00474EF8" w:rsidRDefault="00474EF8" w:rsidP="00D932B6">
            <w:pPr>
              <w:ind w:firstLine="440"/>
              <w:jc w:val="center"/>
            </w:pPr>
            <w:r>
              <w:rPr>
                <w:rFonts w:hint="eastAsia"/>
                <w:color w:val="000000"/>
                <w:sz w:val="22"/>
              </w:rPr>
              <w:t>0.476</w:t>
            </w:r>
          </w:p>
        </w:tc>
        <w:tc>
          <w:tcPr>
            <w:tcW w:w="979" w:type="pct"/>
            <w:vAlign w:val="center"/>
          </w:tcPr>
          <w:p w14:paraId="3526FE1B" w14:textId="77777777" w:rsidR="00474EF8" w:rsidRDefault="00474EF8" w:rsidP="00D932B6">
            <w:pPr>
              <w:ind w:firstLine="440"/>
              <w:jc w:val="center"/>
            </w:pPr>
            <w:r>
              <w:rPr>
                <w:rFonts w:hint="eastAsia"/>
                <w:color w:val="000000"/>
                <w:sz w:val="22"/>
              </w:rPr>
              <w:t>0.151</w:t>
            </w:r>
          </w:p>
        </w:tc>
        <w:tc>
          <w:tcPr>
            <w:tcW w:w="1082" w:type="pct"/>
            <w:vAlign w:val="center"/>
          </w:tcPr>
          <w:p w14:paraId="33EF2A3A" w14:textId="77777777" w:rsidR="00474EF8" w:rsidRPr="00007476" w:rsidRDefault="00474EF8" w:rsidP="00D932B6">
            <w:pPr>
              <w:ind w:firstLine="440"/>
              <w:jc w:val="center"/>
              <w:rPr>
                <w:rFonts w:eastAsia="新細明體"/>
                <w:color w:val="000000"/>
                <w:sz w:val="22"/>
              </w:rPr>
            </w:pPr>
            <w:r>
              <w:rPr>
                <w:rFonts w:hint="eastAsia"/>
                <w:color w:val="000000"/>
                <w:sz w:val="22"/>
              </w:rPr>
              <w:t>B</w:t>
            </w:r>
          </w:p>
        </w:tc>
      </w:tr>
      <w:tr w:rsidR="00D4192C" w14:paraId="4F1ED539" w14:textId="77777777" w:rsidTr="00D4192C">
        <w:tc>
          <w:tcPr>
            <w:tcW w:w="979" w:type="pct"/>
            <w:vAlign w:val="center"/>
          </w:tcPr>
          <w:p w14:paraId="4F778449" w14:textId="77777777" w:rsidR="00474EF8" w:rsidRDefault="00474EF8" w:rsidP="00D4192C">
            <w:pPr>
              <w:ind w:firstLineChars="0" w:firstLine="0"/>
            </w:pPr>
            <w:r>
              <w:rPr>
                <w:rFonts w:hint="eastAsia"/>
              </w:rPr>
              <w:t>Yuanta Financial</w:t>
            </w:r>
          </w:p>
        </w:tc>
        <w:tc>
          <w:tcPr>
            <w:tcW w:w="979" w:type="pct"/>
            <w:vAlign w:val="center"/>
          </w:tcPr>
          <w:p w14:paraId="371AD224" w14:textId="77777777" w:rsidR="00474EF8" w:rsidRDefault="00474EF8" w:rsidP="00D932B6">
            <w:pPr>
              <w:ind w:firstLine="440"/>
              <w:jc w:val="center"/>
            </w:pPr>
            <w:r>
              <w:rPr>
                <w:rFonts w:hint="eastAsia"/>
                <w:color w:val="000000"/>
                <w:sz w:val="22"/>
              </w:rPr>
              <w:t>0.260</w:t>
            </w:r>
          </w:p>
        </w:tc>
        <w:tc>
          <w:tcPr>
            <w:tcW w:w="979" w:type="pct"/>
            <w:vAlign w:val="center"/>
          </w:tcPr>
          <w:p w14:paraId="1AFC7EF4" w14:textId="77777777" w:rsidR="00474EF8" w:rsidRDefault="00474EF8" w:rsidP="00D932B6">
            <w:pPr>
              <w:ind w:firstLine="440"/>
              <w:jc w:val="center"/>
            </w:pPr>
            <w:r>
              <w:rPr>
                <w:rFonts w:hint="eastAsia"/>
                <w:color w:val="000000"/>
                <w:sz w:val="22"/>
              </w:rPr>
              <w:t>0.509</w:t>
            </w:r>
          </w:p>
        </w:tc>
        <w:tc>
          <w:tcPr>
            <w:tcW w:w="979" w:type="pct"/>
            <w:vAlign w:val="center"/>
          </w:tcPr>
          <w:p w14:paraId="639F223E" w14:textId="77777777" w:rsidR="00474EF8" w:rsidRDefault="00474EF8" w:rsidP="00D932B6">
            <w:pPr>
              <w:ind w:firstLine="440"/>
              <w:jc w:val="center"/>
            </w:pPr>
            <w:r>
              <w:rPr>
                <w:rFonts w:hint="eastAsia"/>
                <w:color w:val="000000"/>
                <w:sz w:val="22"/>
              </w:rPr>
              <w:t>0.231</w:t>
            </w:r>
          </w:p>
        </w:tc>
        <w:tc>
          <w:tcPr>
            <w:tcW w:w="1082" w:type="pct"/>
            <w:vAlign w:val="center"/>
          </w:tcPr>
          <w:p w14:paraId="6AF188ED" w14:textId="77777777" w:rsidR="00474EF8" w:rsidRPr="00007476" w:rsidRDefault="00474EF8" w:rsidP="00D932B6">
            <w:pPr>
              <w:ind w:firstLine="440"/>
              <w:jc w:val="center"/>
              <w:rPr>
                <w:rFonts w:eastAsia="新細明體"/>
                <w:color w:val="000000"/>
                <w:sz w:val="22"/>
              </w:rPr>
            </w:pPr>
            <w:r>
              <w:rPr>
                <w:rFonts w:hint="eastAsia"/>
                <w:color w:val="000000"/>
                <w:sz w:val="22"/>
              </w:rPr>
              <w:t>B</w:t>
            </w:r>
          </w:p>
        </w:tc>
      </w:tr>
      <w:tr w:rsidR="00D4192C" w14:paraId="4E25C965" w14:textId="77777777" w:rsidTr="00D4192C">
        <w:tc>
          <w:tcPr>
            <w:tcW w:w="979" w:type="pct"/>
            <w:vAlign w:val="center"/>
          </w:tcPr>
          <w:p w14:paraId="6CE6BF8D" w14:textId="77777777" w:rsidR="00474EF8" w:rsidRDefault="00474EF8" w:rsidP="00D4192C">
            <w:pPr>
              <w:ind w:firstLineChars="0" w:firstLine="0"/>
            </w:pPr>
            <w:proofErr w:type="spellStart"/>
            <w:r>
              <w:rPr>
                <w:rFonts w:hint="eastAsia"/>
              </w:rPr>
              <w:t>Taishin</w:t>
            </w:r>
            <w:proofErr w:type="spellEnd"/>
            <w:r>
              <w:rPr>
                <w:rFonts w:hint="eastAsia"/>
              </w:rPr>
              <w:t xml:space="preserve"> Financial</w:t>
            </w:r>
          </w:p>
        </w:tc>
        <w:tc>
          <w:tcPr>
            <w:tcW w:w="979" w:type="pct"/>
            <w:vAlign w:val="center"/>
          </w:tcPr>
          <w:p w14:paraId="6B4F67E0" w14:textId="77777777" w:rsidR="00474EF8" w:rsidRDefault="00474EF8" w:rsidP="00D932B6">
            <w:pPr>
              <w:ind w:firstLine="440"/>
              <w:jc w:val="center"/>
            </w:pPr>
            <w:r>
              <w:rPr>
                <w:rFonts w:hint="eastAsia"/>
                <w:color w:val="000000"/>
                <w:sz w:val="22"/>
              </w:rPr>
              <w:t>0.074</w:t>
            </w:r>
          </w:p>
        </w:tc>
        <w:tc>
          <w:tcPr>
            <w:tcW w:w="979" w:type="pct"/>
            <w:vAlign w:val="center"/>
          </w:tcPr>
          <w:p w14:paraId="6050ECB1" w14:textId="77777777" w:rsidR="00474EF8" w:rsidRDefault="00474EF8" w:rsidP="00D932B6">
            <w:pPr>
              <w:ind w:firstLine="440"/>
              <w:jc w:val="center"/>
            </w:pPr>
            <w:r>
              <w:rPr>
                <w:rFonts w:hint="eastAsia"/>
                <w:color w:val="000000"/>
                <w:sz w:val="22"/>
              </w:rPr>
              <w:t>0.356</w:t>
            </w:r>
          </w:p>
        </w:tc>
        <w:tc>
          <w:tcPr>
            <w:tcW w:w="979" w:type="pct"/>
            <w:vAlign w:val="center"/>
          </w:tcPr>
          <w:p w14:paraId="1B9526EF" w14:textId="77777777" w:rsidR="00474EF8" w:rsidRDefault="00474EF8" w:rsidP="00D932B6">
            <w:pPr>
              <w:ind w:firstLine="440"/>
              <w:jc w:val="center"/>
            </w:pPr>
            <w:r>
              <w:rPr>
                <w:rFonts w:hint="eastAsia"/>
                <w:color w:val="000000"/>
                <w:sz w:val="22"/>
              </w:rPr>
              <w:t>0.570</w:t>
            </w:r>
          </w:p>
        </w:tc>
        <w:tc>
          <w:tcPr>
            <w:tcW w:w="1082" w:type="pct"/>
            <w:vAlign w:val="center"/>
          </w:tcPr>
          <w:p w14:paraId="44035021" w14:textId="77777777" w:rsidR="00474EF8" w:rsidRPr="00007476" w:rsidRDefault="00474EF8" w:rsidP="00D932B6">
            <w:pPr>
              <w:ind w:firstLine="440"/>
              <w:jc w:val="center"/>
              <w:rPr>
                <w:rFonts w:eastAsia="新細明體"/>
                <w:color w:val="000000"/>
                <w:sz w:val="22"/>
              </w:rPr>
            </w:pPr>
            <w:r>
              <w:rPr>
                <w:rFonts w:hint="eastAsia"/>
                <w:color w:val="000000"/>
                <w:sz w:val="22"/>
              </w:rPr>
              <w:t>C</w:t>
            </w:r>
          </w:p>
        </w:tc>
      </w:tr>
      <w:tr w:rsidR="00D4192C" w14:paraId="6F5519F3" w14:textId="77777777" w:rsidTr="00D4192C">
        <w:tc>
          <w:tcPr>
            <w:tcW w:w="979" w:type="pct"/>
            <w:vAlign w:val="center"/>
          </w:tcPr>
          <w:p w14:paraId="1AAC0581" w14:textId="56471350" w:rsidR="00474EF8" w:rsidRDefault="00474EF8" w:rsidP="00D4192C">
            <w:pPr>
              <w:ind w:firstLineChars="0" w:firstLine="0"/>
            </w:pPr>
            <w:r>
              <w:rPr>
                <w:rFonts w:hint="eastAsia"/>
              </w:rPr>
              <w:t>Shin</w:t>
            </w:r>
            <w:r w:rsidR="00D4192C">
              <w:t xml:space="preserve"> </w:t>
            </w:r>
            <w:r>
              <w:rPr>
                <w:rFonts w:hint="eastAsia"/>
              </w:rPr>
              <w:t>Kong Financial</w:t>
            </w:r>
          </w:p>
        </w:tc>
        <w:tc>
          <w:tcPr>
            <w:tcW w:w="979" w:type="pct"/>
            <w:vAlign w:val="center"/>
          </w:tcPr>
          <w:p w14:paraId="545BE939" w14:textId="77777777" w:rsidR="00474EF8" w:rsidRDefault="00474EF8" w:rsidP="00D932B6">
            <w:pPr>
              <w:ind w:firstLine="440"/>
              <w:jc w:val="center"/>
            </w:pPr>
            <w:r>
              <w:rPr>
                <w:rFonts w:hint="eastAsia"/>
                <w:color w:val="000000"/>
                <w:sz w:val="22"/>
              </w:rPr>
              <w:t>0.000</w:t>
            </w:r>
          </w:p>
        </w:tc>
        <w:tc>
          <w:tcPr>
            <w:tcW w:w="979" w:type="pct"/>
            <w:vAlign w:val="center"/>
          </w:tcPr>
          <w:p w14:paraId="650F14DC" w14:textId="77777777" w:rsidR="00474EF8" w:rsidRDefault="00474EF8" w:rsidP="00D932B6">
            <w:pPr>
              <w:ind w:firstLine="440"/>
              <w:jc w:val="center"/>
            </w:pPr>
            <w:r>
              <w:rPr>
                <w:rFonts w:hint="eastAsia"/>
                <w:color w:val="000000"/>
                <w:sz w:val="22"/>
              </w:rPr>
              <w:t>0.003</w:t>
            </w:r>
          </w:p>
        </w:tc>
        <w:tc>
          <w:tcPr>
            <w:tcW w:w="979" w:type="pct"/>
            <w:vAlign w:val="center"/>
          </w:tcPr>
          <w:p w14:paraId="0EA01E02" w14:textId="77777777" w:rsidR="00474EF8" w:rsidRDefault="00474EF8" w:rsidP="00D932B6">
            <w:pPr>
              <w:ind w:firstLine="440"/>
              <w:jc w:val="center"/>
            </w:pPr>
            <w:r>
              <w:rPr>
                <w:rFonts w:hint="eastAsia"/>
                <w:color w:val="000000"/>
                <w:sz w:val="22"/>
              </w:rPr>
              <w:t>0.996</w:t>
            </w:r>
          </w:p>
        </w:tc>
        <w:tc>
          <w:tcPr>
            <w:tcW w:w="1082" w:type="pct"/>
            <w:vAlign w:val="center"/>
          </w:tcPr>
          <w:p w14:paraId="2FABDD4A" w14:textId="77777777" w:rsidR="00474EF8" w:rsidRPr="00007476" w:rsidRDefault="00474EF8" w:rsidP="00D932B6">
            <w:pPr>
              <w:ind w:firstLine="440"/>
              <w:jc w:val="center"/>
              <w:rPr>
                <w:rFonts w:eastAsia="新細明體"/>
                <w:color w:val="000000"/>
                <w:sz w:val="22"/>
              </w:rPr>
            </w:pPr>
            <w:r>
              <w:rPr>
                <w:rFonts w:hint="eastAsia"/>
                <w:color w:val="000000"/>
                <w:sz w:val="22"/>
              </w:rPr>
              <w:t>C</w:t>
            </w:r>
          </w:p>
        </w:tc>
      </w:tr>
      <w:tr w:rsidR="00D4192C" w14:paraId="660C688F" w14:textId="77777777" w:rsidTr="00D4192C">
        <w:tc>
          <w:tcPr>
            <w:tcW w:w="979" w:type="pct"/>
            <w:vAlign w:val="center"/>
          </w:tcPr>
          <w:p w14:paraId="2ED176B7" w14:textId="77777777" w:rsidR="00474EF8" w:rsidRDefault="00474EF8" w:rsidP="00D4192C">
            <w:pPr>
              <w:ind w:firstLineChars="0" w:firstLine="0"/>
            </w:pPr>
            <w:r>
              <w:rPr>
                <w:rFonts w:hint="eastAsia"/>
              </w:rPr>
              <w:t>CTBC Financial</w:t>
            </w:r>
          </w:p>
        </w:tc>
        <w:tc>
          <w:tcPr>
            <w:tcW w:w="979" w:type="pct"/>
            <w:vAlign w:val="center"/>
          </w:tcPr>
          <w:p w14:paraId="34C412A3" w14:textId="77777777" w:rsidR="00474EF8" w:rsidRDefault="00474EF8" w:rsidP="00D932B6">
            <w:pPr>
              <w:ind w:firstLine="440"/>
              <w:jc w:val="center"/>
            </w:pPr>
            <w:r>
              <w:rPr>
                <w:rFonts w:hint="eastAsia"/>
                <w:color w:val="000000"/>
                <w:sz w:val="22"/>
              </w:rPr>
              <w:t>0.144</w:t>
            </w:r>
          </w:p>
        </w:tc>
        <w:tc>
          <w:tcPr>
            <w:tcW w:w="979" w:type="pct"/>
            <w:vAlign w:val="center"/>
          </w:tcPr>
          <w:p w14:paraId="610BCDFB" w14:textId="77777777" w:rsidR="00474EF8" w:rsidRDefault="00474EF8" w:rsidP="00D932B6">
            <w:pPr>
              <w:ind w:firstLine="440"/>
              <w:jc w:val="center"/>
            </w:pPr>
            <w:r>
              <w:rPr>
                <w:rFonts w:hint="eastAsia"/>
                <w:color w:val="000000"/>
                <w:sz w:val="22"/>
              </w:rPr>
              <w:t>0.470</w:t>
            </w:r>
          </w:p>
        </w:tc>
        <w:tc>
          <w:tcPr>
            <w:tcW w:w="979" w:type="pct"/>
            <w:vAlign w:val="center"/>
          </w:tcPr>
          <w:p w14:paraId="1CE9FD10" w14:textId="77777777" w:rsidR="00474EF8" w:rsidRDefault="00474EF8" w:rsidP="00D932B6">
            <w:pPr>
              <w:ind w:firstLine="440"/>
              <w:jc w:val="center"/>
            </w:pPr>
            <w:r>
              <w:rPr>
                <w:rFonts w:hint="eastAsia"/>
                <w:color w:val="000000"/>
                <w:sz w:val="22"/>
              </w:rPr>
              <w:t>0.387</w:t>
            </w:r>
          </w:p>
        </w:tc>
        <w:tc>
          <w:tcPr>
            <w:tcW w:w="1082" w:type="pct"/>
            <w:vAlign w:val="center"/>
          </w:tcPr>
          <w:p w14:paraId="579E1159" w14:textId="77777777" w:rsidR="00474EF8" w:rsidRDefault="00474EF8" w:rsidP="00D932B6">
            <w:pPr>
              <w:ind w:firstLine="480"/>
              <w:jc w:val="center"/>
            </w:pPr>
            <w:r>
              <w:rPr>
                <w:rFonts w:hint="eastAsia"/>
              </w:rPr>
              <w:t>B</w:t>
            </w:r>
          </w:p>
        </w:tc>
      </w:tr>
      <w:tr w:rsidR="00D4192C" w14:paraId="3AE9F905" w14:textId="77777777" w:rsidTr="00D4192C">
        <w:tc>
          <w:tcPr>
            <w:tcW w:w="979" w:type="pct"/>
            <w:vAlign w:val="center"/>
          </w:tcPr>
          <w:p w14:paraId="05141F01" w14:textId="77777777" w:rsidR="00474EF8" w:rsidRDefault="00474EF8" w:rsidP="00D4192C">
            <w:pPr>
              <w:ind w:firstLineChars="0" w:firstLine="0"/>
            </w:pPr>
            <w:r>
              <w:rPr>
                <w:rFonts w:hint="eastAsia"/>
              </w:rPr>
              <w:t>First Financial</w:t>
            </w:r>
          </w:p>
        </w:tc>
        <w:tc>
          <w:tcPr>
            <w:tcW w:w="979" w:type="pct"/>
            <w:vAlign w:val="center"/>
          </w:tcPr>
          <w:p w14:paraId="6FF60FCD" w14:textId="77777777" w:rsidR="00474EF8" w:rsidRDefault="00474EF8" w:rsidP="00D932B6">
            <w:pPr>
              <w:ind w:firstLine="440"/>
              <w:jc w:val="center"/>
            </w:pPr>
            <w:r>
              <w:rPr>
                <w:rFonts w:hint="eastAsia"/>
                <w:color w:val="000000"/>
                <w:sz w:val="22"/>
              </w:rPr>
              <w:t>0.331</w:t>
            </w:r>
          </w:p>
        </w:tc>
        <w:tc>
          <w:tcPr>
            <w:tcW w:w="979" w:type="pct"/>
            <w:vAlign w:val="center"/>
          </w:tcPr>
          <w:p w14:paraId="4DC90C48" w14:textId="77777777" w:rsidR="00474EF8" w:rsidRDefault="00474EF8" w:rsidP="00D932B6">
            <w:pPr>
              <w:ind w:firstLine="440"/>
              <w:jc w:val="center"/>
            </w:pPr>
            <w:r>
              <w:rPr>
                <w:rFonts w:hint="eastAsia"/>
                <w:color w:val="000000"/>
                <w:sz w:val="22"/>
              </w:rPr>
              <w:t>0.493</w:t>
            </w:r>
          </w:p>
        </w:tc>
        <w:tc>
          <w:tcPr>
            <w:tcW w:w="979" w:type="pct"/>
            <w:vAlign w:val="center"/>
          </w:tcPr>
          <w:p w14:paraId="34E8F3B5" w14:textId="77777777" w:rsidR="00474EF8" w:rsidRDefault="00474EF8" w:rsidP="00D932B6">
            <w:pPr>
              <w:ind w:firstLine="440"/>
              <w:jc w:val="center"/>
            </w:pPr>
            <w:r>
              <w:rPr>
                <w:rFonts w:hint="eastAsia"/>
                <w:color w:val="000000"/>
                <w:sz w:val="22"/>
              </w:rPr>
              <w:t>0.176</w:t>
            </w:r>
          </w:p>
        </w:tc>
        <w:tc>
          <w:tcPr>
            <w:tcW w:w="1082" w:type="pct"/>
            <w:vAlign w:val="center"/>
          </w:tcPr>
          <w:p w14:paraId="67DA4084" w14:textId="77777777" w:rsidR="00474EF8" w:rsidRDefault="00474EF8" w:rsidP="00D932B6">
            <w:pPr>
              <w:ind w:firstLine="480"/>
              <w:jc w:val="center"/>
            </w:pPr>
            <w:r>
              <w:rPr>
                <w:rFonts w:hint="eastAsia"/>
              </w:rPr>
              <w:t>B</w:t>
            </w:r>
          </w:p>
        </w:tc>
      </w:tr>
      <w:tr w:rsidR="00D4192C" w14:paraId="11B6B4F5" w14:textId="77777777" w:rsidTr="00D4192C">
        <w:tc>
          <w:tcPr>
            <w:tcW w:w="979" w:type="pct"/>
            <w:vAlign w:val="center"/>
          </w:tcPr>
          <w:p w14:paraId="3D031254" w14:textId="77777777" w:rsidR="00474EF8" w:rsidRDefault="00474EF8" w:rsidP="00D4192C">
            <w:pPr>
              <w:ind w:firstLineChars="0" w:firstLine="0"/>
            </w:pPr>
            <w:r>
              <w:rPr>
                <w:rFonts w:hint="eastAsia"/>
              </w:rPr>
              <w:t>Cooperative Financial</w:t>
            </w:r>
          </w:p>
        </w:tc>
        <w:tc>
          <w:tcPr>
            <w:tcW w:w="979" w:type="pct"/>
            <w:vAlign w:val="center"/>
          </w:tcPr>
          <w:p w14:paraId="39E2EE5E" w14:textId="77777777" w:rsidR="00474EF8" w:rsidRDefault="00474EF8" w:rsidP="00D932B6">
            <w:pPr>
              <w:ind w:firstLine="440"/>
              <w:jc w:val="center"/>
            </w:pPr>
            <w:r>
              <w:rPr>
                <w:rFonts w:hint="eastAsia"/>
                <w:color w:val="000000"/>
                <w:sz w:val="22"/>
              </w:rPr>
              <w:t>0.469</w:t>
            </w:r>
          </w:p>
        </w:tc>
        <w:tc>
          <w:tcPr>
            <w:tcW w:w="979" w:type="pct"/>
            <w:vAlign w:val="center"/>
          </w:tcPr>
          <w:p w14:paraId="51DF5B6C" w14:textId="77777777" w:rsidR="00474EF8" w:rsidRDefault="00474EF8" w:rsidP="00D932B6">
            <w:pPr>
              <w:ind w:firstLine="440"/>
              <w:jc w:val="center"/>
            </w:pPr>
            <w:r>
              <w:rPr>
                <w:rFonts w:hint="eastAsia"/>
                <w:color w:val="000000"/>
                <w:sz w:val="22"/>
              </w:rPr>
              <w:t>0.424</w:t>
            </w:r>
          </w:p>
        </w:tc>
        <w:tc>
          <w:tcPr>
            <w:tcW w:w="979" w:type="pct"/>
            <w:vAlign w:val="center"/>
          </w:tcPr>
          <w:p w14:paraId="00C31ED2" w14:textId="77777777" w:rsidR="00474EF8" w:rsidRDefault="00474EF8" w:rsidP="00D932B6">
            <w:pPr>
              <w:ind w:firstLine="440"/>
              <w:jc w:val="center"/>
            </w:pPr>
            <w:r>
              <w:rPr>
                <w:rFonts w:hint="eastAsia"/>
                <w:color w:val="000000"/>
                <w:sz w:val="22"/>
              </w:rPr>
              <w:t>0.107</w:t>
            </w:r>
          </w:p>
        </w:tc>
        <w:tc>
          <w:tcPr>
            <w:tcW w:w="1082" w:type="pct"/>
            <w:vAlign w:val="center"/>
          </w:tcPr>
          <w:p w14:paraId="588216EF" w14:textId="77777777" w:rsidR="00474EF8" w:rsidRDefault="00474EF8" w:rsidP="00D932B6">
            <w:pPr>
              <w:ind w:firstLine="480"/>
              <w:jc w:val="center"/>
            </w:pPr>
            <w:r>
              <w:rPr>
                <w:rFonts w:hint="eastAsia"/>
              </w:rPr>
              <w:t>A</w:t>
            </w:r>
          </w:p>
        </w:tc>
      </w:tr>
    </w:tbl>
    <w:p w14:paraId="56B8865E" w14:textId="77777777" w:rsidR="00D4192C" w:rsidRDefault="00D4192C" w:rsidP="00474EF8">
      <w:pPr>
        <w:ind w:firstLine="480"/>
      </w:pPr>
    </w:p>
    <w:p w14:paraId="4537E448" w14:textId="77777777" w:rsidR="00D22BB0" w:rsidRDefault="00D22BB0" w:rsidP="00474EF8">
      <w:pPr>
        <w:ind w:firstLine="480"/>
      </w:pPr>
    </w:p>
    <w:p w14:paraId="686E1EA1" w14:textId="2A8DC1B4" w:rsidR="008554A7" w:rsidRDefault="00DE6038" w:rsidP="00DE6038">
      <w:pPr>
        <w:ind w:firstLineChars="0" w:firstLine="0"/>
      </w:pPr>
      <w:bookmarkStart w:id="34" w:name="_Toc113394905"/>
      <w:r>
        <w:rPr>
          <w:rFonts w:hint="eastAsia"/>
        </w:rPr>
        <w:t>4</w:t>
      </w:r>
      <w:r w:rsidR="00D22BB0">
        <w:t>.</w:t>
      </w:r>
      <w:r>
        <w:rPr>
          <w:rFonts w:hint="eastAsia"/>
        </w:rPr>
        <w:t>6 Value</w:t>
      </w:r>
      <w:r w:rsidR="00474EF8">
        <w:rPr>
          <w:rFonts w:hint="eastAsia"/>
        </w:rPr>
        <w:t xml:space="preserve"> at Risk and Solvency Ratio R</w:t>
      </w:r>
      <w:r w:rsidR="00474EF8">
        <w:rPr>
          <w:rFonts w:ascii="Apple Color Emoji" w:hAnsi="Apple Color Emoji" w:cs="Apple Color Emoji" w:hint="eastAsia"/>
        </w:rPr>
        <w:t xml:space="preserve">ating </w:t>
      </w:r>
      <w:r w:rsidR="00474EF8">
        <w:rPr>
          <w:rFonts w:hint="eastAsia"/>
        </w:rPr>
        <w:t>Analysis</w:t>
      </w:r>
      <w:bookmarkEnd w:id="34"/>
    </w:p>
    <w:p w14:paraId="621CC414" w14:textId="77777777" w:rsidR="005376CF" w:rsidRDefault="00474EF8" w:rsidP="00474EF8">
      <w:pPr>
        <w:pStyle w:val="a0"/>
      </w:pPr>
      <w:r>
        <w:rPr>
          <w:rFonts w:hint="eastAsia"/>
        </w:rPr>
        <w:t xml:space="preserve">This study used two methods, Gaussian </w:t>
      </w:r>
      <w:proofErr w:type="spellStart"/>
      <w:r>
        <w:rPr>
          <w:rFonts w:hint="eastAsia"/>
        </w:rPr>
        <w:t>VaR</w:t>
      </w:r>
      <w:proofErr w:type="spellEnd"/>
      <w:r>
        <w:rPr>
          <w:rFonts w:hint="eastAsia"/>
        </w:rPr>
        <w:t xml:space="preserve"> </w:t>
      </w:r>
      <w:r>
        <w:t>and</w:t>
      </w:r>
      <w:r w:rsidRPr="00733875">
        <w:t xml:space="preserve"> </w:t>
      </w:r>
      <w:proofErr w:type="spellStart"/>
      <w:r w:rsidRPr="00733875">
        <w:t>MVaR</w:t>
      </w:r>
      <w:proofErr w:type="spellEnd"/>
      <w:r w:rsidRPr="00733875">
        <w:t>, to calculate the Va</w:t>
      </w:r>
      <w:r>
        <w:t>lue at Risk. Th</w:t>
      </w:r>
      <w:r>
        <w:rPr>
          <w:rFonts w:hint="eastAsia"/>
        </w:rPr>
        <w:t>e Value</w:t>
      </w:r>
      <w:r>
        <w:t xml:space="preserve"> at Risk wa</w:t>
      </w:r>
      <w:r>
        <w:rPr>
          <w:rFonts w:hint="eastAsia"/>
        </w:rPr>
        <w:t>s calculated as the difference between the lower tail value and the average of the stock pr</w:t>
      </w:r>
      <w:r w:rsidRPr="001979AB">
        <w:rPr>
          <w:rFonts w:hint="eastAsia"/>
        </w:rPr>
        <w:t>ice investment returns of the financial holding pa</w:t>
      </w:r>
      <w:r>
        <w:rPr>
          <w:rFonts w:hint="eastAsia"/>
        </w:rPr>
        <w:t>rent compan</w:t>
      </w:r>
      <w:r>
        <w:t xml:space="preserve">ies. </w:t>
      </w:r>
    </w:p>
    <w:p w14:paraId="639A0172" w14:textId="0C668B09" w:rsidR="00474EF8" w:rsidRDefault="00612B00" w:rsidP="00474EF8">
      <w:pPr>
        <w:pStyle w:val="a0"/>
      </w:pPr>
      <w:r>
        <w:t xml:space="preserve">Table </w:t>
      </w:r>
      <w:r w:rsidR="005376CF">
        <w:t>4</w:t>
      </w:r>
      <w:r w:rsidR="00474EF8">
        <w:rPr>
          <w:rFonts w:hint="eastAsia"/>
        </w:rPr>
        <w:t xml:space="preserve"> below shows the average comparison of the calculated Value at Risk and the life insurance company solvency ratio ratings</w:t>
      </w:r>
      <w:r w:rsidR="0003583E">
        <w:t xml:space="preserve"> while</w:t>
      </w:r>
      <w:r w:rsidR="00474EF8">
        <w:rPr>
          <w:rFonts w:hint="eastAsia"/>
        </w:rPr>
        <w:t xml:space="preserve"> </w:t>
      </w:r>
      <w:r>
        <w:rPr>
          <w:rFonts w:hint="eastAsia"/>
        </w:rPr>
        <w:t xml:space="preserve">Table </w:t>
      </w:r>
      <w:r w:rsidR="005376CF">
        <w:t>5</w:t>
      </w:r>
      <w:r w:rsidR="00474EF8">
        <w:t xml:space="preserve"> sh</w:t>
      </w:r>
      <w:r w:rsidR="00474EF8">
        <w:rPr>
          <w:rFonts w:hint="eastAsia"/>
        </w:rPr>
        <w:t xml:space="preserve">ows the comparison </w:t>
      </w:r>
      <w:r w:rsidR="00474EF8">
        <w:rPr>
          <w:rFonts w:hint="eastAsia"/>
        </w:rPr>
        <w:lastRenderedPageBreak/>
        <w:t>of the predicted results for both.</w:t>
      </w:r>
    </w:p>
    <w:p w14:paraId="7229BB8C" w14:textId="7BFCC74C" w:rsidR="005376CF" w:rsidRDefault="001E0ABA" w:rsidP="005376CF">
      <w:pPr>
        <w:pStyle w:val="a0"/>
      </w:pPr>
      <w:r w:rsidRPr="003F6FAB">
        <w:rPr>
          <w:rFonts w:hint="eastAsia"/>
        </w:rPr>
        <w:t xml:space="preserve">Among the nine financial holding companies, only Yuanta Financial, First Financial, and Cooperative Financial have an </w:t>
      </w:r>
      <w:proofErr w:type="spellStart"/>
      <w:r w:rsidRPr="003F6FAB">
        <w:rPr>
          <w:rFonts w:hint="eastAsia"/>
        </w:rPr>
        <w:t>MVaR</w:t>
      </w:r>
      <w:proofErr w:type="spellEnd"/>
      <w:r w:rsidRPr="003F6FAB">
        <w:rPr>
          <w:rFonts w:hint="eastAsia"/>
        </w:rPr>
        <w:t xml:space="preserve"> smaller than Gaussian </w:t>
      </w:r>
      <w:proofErr w:type="spellStart"/>
      <w:r w:rsidRPr="003F6FAB">
        <w:rPr>
          <w:rFonts w:hint="eastAsia"/>
        </w:rPr>
        <w:t>VaR</w:t>
      </w:r>
      <w:proofErr w:type="spellEnd"/>
      <w:r w:rsidRPr="003F6FAB">
        <w:rPr>
          <w:rFonts w:hint="eastAsia"/>
        </w:rPr>
        <w:t xml:space="preserve"> for their stock value at risk. This indicates that </w:t>
      </w:r>
      <w:proofErr w:type="spellStart"/>
      <w:r w:rsidRPr="003F6FAB">
        <w:rPr>
          <w:rFonts w:hint="eastAsia"/>
        </w:rPr>
        <w:t>MVaR</w:t>
      </w:r>
      <w:proofErr w:type="spellEnd"/>
      <w:r w:rsidRPr="003F6FAB">
        <w:rPr>
          <w:rFonts w:hint="eastAsia"/>
        </w:rPr>
        <w:t xml:space="preserve"> generally has a smaller average loss risk than Gaussian </w:t>
      </w:r>
      <w:proofErr w:type="spellStart"/>
      <w:r w:rsidRPr="003F6FAB">
        <w:rPr>
          <w:rFonts w:hint="eastAsia"/>
        </w:rPr>
        <w:t>VaR</w:t>
      </w:r>
      <w:proofErr w:type="spellEnd"/>
      <w:r w:rsidRPr="003F6FAB">
        <w:rPr>
          <w:rFonts w:hint="eastAsia"/>
        </w:rPr>
        <w:t xml:space="preserve"> at a 95% confidence level.</w:t>
      </w:r>
      <w:r w:rsidR="005376CF">
        <w:t xml:space="preserve"> Ov</w:t>
      </w:r>
      <w:r w:rsidR="005376CF">
        <w:rPr>
          <w:rFonts w:hint="eastAsia"/>
        </w:rPr>
        <w:t>erall, there is a certain correlation between the magnitude of stock value at risk and the average solvency ratio rating of life insurance companies. When the stock value at risk of the financial holding parent company is lower, the solvency ratio rating of its life insurance subsidiary will be higher.</w:t>
      </w:r>
    </w:p>
    <w:p w14:paraId="41D1473A" w14:textId="77777777" w:rsidR="00D4192C" w:rsidRDefault="00D4192C" w:rsidP="00474EF8">
      <w:pPr>
        <w:pStyle w:val="a2"/>
        <w:ind w:firstLine="480"/>
      </w:pPr>
      <w:bookmarkStart w:id="35" w:name="_Toc113394921"/>
    </w:p>
    <w:p w14:paraId="26364F07" w14:textId="59175F0F" w:rsidR="00474EF8" w:rsidRPr="00FF7AAF" w:rsidRDefault="00612B00" w:rsidP="00474EF8">
      <w:pPr>
        <w:pStyle w:val="a2"/>
        <w:ind w:firstLine="480"/>
      </w:pPr>
      <w:r>
        <w:rPr>
          <w:rFonts w:hint="eastAsia"/>
        </w:rPr>
        <w:t xml:space="preserve">Table </w:t>
      </w:r>
      <w:r w:rsidR="005376CF">
        <w:t>4</w:t>
      </w:r>
      <w:r w:rsidR="00474EF8">
        <w:rPr>
          <w:rFonts w:hint="eastAsia"/>
        </w:rPr>
        <w:t xml:space="preserve"> Summary of Average Results for Financial Holding Company Value at Risk and Life Insurance Company Solvency Ratio Ratings</w:t>
      </w:r>
      <w:r w:rsidR="00474EF8">
        <w:fldChar w:fldCharType="begin"/>
      </w:r>
      <w:r w:rsidR="00474EF8">
        <w:instrText xml:space="preserve"> </w:instrText>
      </w:r>
      <w:r w:rsidR="00474EF8">
        <w:rPr>
          <w:rFonts w:hint="eastAsia"/>
        </w:rPr>
        <w:instrText xml:space="preserve">SEQ </w:instrText>
      </w:r>
      <w:r w:rsidR="00474EF8">
        <w:rPr>
          <w:rFonts w:hint="eastAsia"/>
        </w:rPr>
        <w:instrText>表</w:instrText>
      </w:r>
      <w:r w:rsidR="00474EF8">
        <w:rPr>
          <w:rFonts w:hint="eastAsia"/>
        </w:rPr>
        <w:instrText>4. \* ARABIC</w:instrText>
      </w:r>
      <w:r w:rsidR="00474EF8">
        <w:instrText xml:space="preserve"> </w:instrText>
      </w:r>
      <w:r w:rsidR="00000000">
        <w:fldChar w:fldCharType="separate"/>
      </w:r>
      <w:r w:rsidR="00474EF8">
        <w:fldChar w:fldCharType="end"/>
      </w:r>
      <w:bookmarkEnd w:id="35"/>
    </w:p>
    <w:tbl>
      <w:tblPr>
        <w:tblStyle w:val="TableGrid"/>
        <w:tblW w:w="5000" w:type="pct"/>
        <w:tblLook w:val="04A0" w:firstRow="1" w:lastRow="0" w:firstColumn="1" w:lastColumn="0" w:noHBand="0" w:noVBand="1"/>
      </w:tblPr>
      <w:tblGrid>
        <w:gridCol w:w="1789"/>
        <w:gridCol w:w="1999"/>
        <w:gridCol w:w="1754"/>
        <w:gridCol w:w="2754"/>
      </w:tblGrid>
      <w:tr w:rsidR="00474EF8" w14:paraId="20B07BE5" w14:textId="77777777" w:rsidTr="00D4192C">
        <w:trPr>
          <w:trHeight w:val="618"/>
        </w:trPr>
        <w:tc>
          <w:tcPr>
            <w:tcW w:w="1078" w:type="pct"/>
            <w:vAlign w:val="center"/>
          </w:tcPr>
          <w:p w14:paraId="0C828681" w14:textId="77777777" w:rsidR="00474EF8" w:rsidRDefault="00474EF8" w:rsidP="00D4192C">
            <w:pPr>
              <w:ind w:firstLineChars="0" w:firstLine="0"/>
              <w:jc w:val="left"/>
            </w:pPr>
            <w:r>
              <w:rPr>
                <w:rFonts w:hint="eastAsia"/>
              </w:rPr>
              <w:t>Company Name</w:t>
            </w:r>
          </w:p>
        </w:tc>
        <w:tc>
          <w:tcPr>
            <w:tcW w:w="1205" w:type="pct"/>
            <w:vAlign w:val="center"/>
          </w:tcPr>
          <w:p w14:paraId="066EB6DE" w14:textId="58D0F9E8" w:rsidR="00474EF8" w:rsidRDefault="00474EF8" w:rsidP="00D4192C">
            <w:pPr>
              <w:ind w:firstLineChars="0" w:firstLine="0"/>
              <w:jc w:val="left"/>
            </w:pPr>
            <w:r>
              <w:t>Average Value of Gaussian</w:t>
            </w:r>
            <w:r w:rsidR="00D4192C">
              <w:t xml:space="preserve"> </w:t>
            </w:r>
            <w:proofErr w:type="spellStart"/>
            <w:r>
              <w:t>VaR</w:t>
            </w:r>
            <w:proofErr w:type="spellEnd"/>
            <w:r>
              <w:t xml:space="preserve"> Estimate</w:t>
            </w:r>
          </w:p>
          <w:p w14:paraId="606A185F" w14:textId="77777777" w:rsidR="00474EF8" w:rsidRDefault="00474EF8" w:rsidP="00D4192C">
            <w:pPr>
              <w:ind w:firstLine="480"/>
              <w:jc w:val="left"/>
            </w:pPr>
          </w:p>
        </w:tc>
        <w:tc>
          <w:tcPr>
            <w:tcW w:w="1057" w:type="pct"/>
            <w:vAlign w:val="center"/>
          </w:tcPr>
          <w:p w14:paraId="6135D76A" w14:textId="77777777" w:rsidR="00474EF8" w:rsidRDefault="00474EF8" w:rsidP="00D4192C">
            <w:pPr>
              <w:ind w:firstLineChars="0" w:firstLine="0"/>
              <w:jc w:val="left"/>
            </w:pPr>
            <w:r>
              <w:t xml:space="preserve">Average Value of </w:t>
            </w:r>
            <w:proofErr w:type="spellStart"/>
            <w:r>
              <w:t>MvaR</w:t>
            </w:r>
            <w:proofErr w:type="spellEnd"/>
            <w:r>
              <w:t xml:space="preserve"> Estimate</w:t>
            </w:r>
          </w:p>
          <w:p w14:paraId="6995F4B7" w14:textId="77777777" w:rsidR="00474EF8" w:rsidRDefault="00474EF8" w:rsidP="00D4192C">
            <w:pPr>
              <w:ind w:firstLine="480"/>
              <w:jc w:val="left"/>
            </w:pPr>
          </w:p>
        </w:tc>
        <w:tc>
          <w:tcPr>
            <w:tcW w:w="1660" w:type="pct"/>
            <w:vAlign w:val="center"/>
          </w:tcPr>
          <w:p w14:paraId="38DA104F" w14:textId="77777777" w:rsidR="00474EF8" w:rsidRDefault="00474EF8" w:rsidP="00D4192C">
            <w:pPr>
              <w:ind w:firstLineChars="0" w:firstLine="0"/>
              <w:jc w:val="left"/>
            </w:pPr>
            <w:r>
              <w:rPr>
                <w:rFonts w:hint="eastAsia"/>
              </w:rPr>
              <w:t>Average Result of Life Insurance Company Solvency Ratio Rating</w:t>
            </w:r>
            <w:r>
              <w:br/>
            </w:r>
          </w:p>
        </w:tc>
      </w:tr>
      <w:tr w:rsidR="00474EF8" w14:paraId="1E3018A4" w14:textId="77777777" w:rsidTr="00D4192C">
        <w:tc>
          <w:tcPr>
            <w:tcW w:w="1078" w:type="pct"/>
            <w:vAlign w:val="center"/>
          </w:tcPr>
          <w:p w14:paraId="2D8DC7D3" w14:textId="77777777" w:rsidR="00474EF8" w:rsidRDefault="00474EF8" w:rsidP="00D4192C">
            <w:pPr>
              <w:ind w:firstLineChars="0" w:firstLine="0"/>
            </w:pPr>
            <w:r>
              <w:rPr>
                <w:rFonts w:hint="eastAsia"/>
              </w:rPr>
              <w:t>Fubon Financial</w:t>
            </w:r>
          </w:p>
        </w:tc>
        <w:tc>
          <w:tcPr>
            <w:tcW w:w="1205" w:type="pct"/>
          </w:tcPr>
          <w:p w14:paraId="3337B601" w14:textId="77777777" w:rsidR="00474EF8" w:rsidRDefault="00474EF8" w:rsidP="00D932B6">
            <w:pPr>
              <w:ind w:firstLine="480"/>
              <w:jc w:val="center"/>
            </w:pPr>
            <w:r w:rsidRPr="00B94863">
              <w:t>-0.3701</w:t>
            </w:r>
          </w:p>
        </w:tc>
        <w:tc>
          <w:tcPr>
            <w:tcW w:w="1057" w:type="pct"/>
          </w:tcPr>
          <w:p w14:paraId="7B4E21B8" w14:textId="77777777" w:rsidR="00474EF8" w:rsidRDefault="00474EF8" w:rsidP="00D932B6">
            <w:pPr>
              <w:ind w:firstLine="480"/>
              <w:jc w:val="center"/>
            </w:pPr>
            <w:r w:rsidRPr="00B94863">
              <w:t>-0.3022</w:t>
            </w:r>
          </w:p>
        </w:tc>
        <w:tc>
          <w:tcPr>
            <w:tcW w:w="1660" w:type="pct"/>
            <w:vAlign w:val="center"/>
          </w:tcPr>
          <w:p w14:paraId="7F709C7B" w14:textId="77777777" w:rsidR="00474EF8" w:rsidRDefault="00474EF8" w:rsidP="00D932B6">
            <w:pPr>
              <w:ind w:firstLine="480"/>
              <w:jc w:val="center"/>
            </w:pPr>
            <w:r>
              <w:rPr>
                <w:rFonts w:hint="eastAsia"/>
                <w:color w:val="000000"/>
              </w:rPr>
              <w:t>C</w:t>
            </w:r>
          </w:p>
        </w:tc>
      </w:tr>
      <w:tr w:rsidR="00474EF8" w14:paraId="17928D56" w14:textId="77777777" w:rsidTr="00D4192C">
        <w:tc>
          <w:tcPr>
            <w:tcW w:w="1078" w:type="pct"/>
            <w:vAlign w:val="center"/>
          </w:tcPr>
          <w:p w14:paraId="362E0C18" w14:textId="77777777" w:rsidR="00474EF8" w:rsidRDefault="00474EF8" w:rsidP="00D4192C">
            <w:pPr>
              <w:ind w:firstLineChars="0" w:firstLine="0"/>
            </w:pPr>
            <w:r>
              <w:rPr>
                <w:rFonts w:hint="eastAsia"/>
              </w:rPr>
              <w:t>Cathay Financial</w:t>
            </w:r>
          </w:p>
        </w:tc>
        <w:tc>
          <w:tcPr>
            <w:tcW w:w="1205" w:type="pct"/>
          </w:tcPr>
          <w:p w14:paraId="1F92B742" w14:textId="77777777" w:rsidR="00474EF8" w:rsidRDefault="00474EF8" w:rsidP="00D932B6">
            <w:pPr>
              <w:ind w:firstLine="480"/>
              <w:jc w:val="center"/>
            </w:pPr>
            <w:r w:rsidRPr="00B94863">
              <w:t>-0.2968</w:t>
            </w:r>
          </w:p>
        </w:tc>
        <w:tc>
          <w:tcPr>
            <w:tcW w:w="1057" w:type="pct"/>
          </w:tcPr>
          <w:p w14:paraId="5A8D1DD7" w14:textId="77777777" w:rsidR="00474EF8" w:rsidRDefault="00474EF8" w:rsidP="00D932B6">
            <w:pPr>
              <w:ind w:firstLine="480"/>
              <w:jc w:val="center"/>
            </w:pPr>
            <w:r w:rsidRPr="00B94863">
              <w:t>-0.2586</w:t>
            </w:r>
          </w:p>
        </w:tc>
        <w:tc>
          <w:tcPr>
            <w:tcW w:w="1660" w:type="pct"/>
            <w:vAlign w:val="center"/>
          </w:tcPr>
          <w:p w14:paraId="72BEAA27" w14:textId="77777777" w:rsidR="00474EF8" w:rsidRDefault="00474EF8" w:rsidP="00D932B6">
            <w:pPr>
              <w:ind w:firstLine="480"/>
              <w:jc w:val="center"/>
            </w:pPr>
            <w:r>
              <w:rPr>
                <w:rFonts w:hint="eastAsia"/>
                <w:color w:val="000000"/>
              </w:rPr>
              <w:t>B</w:t>
            </w:r>
          </w:p>
        </w:tc>
      </w:tr>
      <w:tr w:rsidR="00474EF8" w14:paraId="3624009A" w14:textId="77777777" w:rsidTr="00D4192C">
        <w:tc>
          <w:tcPr>
            <w:tcW w:w="1078" w:type="pct"/>
            <w:vAlign w:val="center"/>
          </w:tcPr>
          <w:p w14:paraId="6C44D6C2" w14:textId="77777777" w:rsidR="00474EF8" w:rsidRDefault="00474EF8" w:rsidP="00D4192C">
            <w:pPr>
              <w:ind w:firstLineChars="0" w:firstLine="0"/>
            </w:pPr>
            <w:r>
              <w:rPr>
                <w:rFonts w:hint="eastAsia"/>
              </w:rPr>
              <w:t>Development Financial</w:t>
            </w:r>
          </w:p>
        </w:tc>
        <w:tc>
          <w:tcPr>
            <w:tcW w:w="1205" w:type="pct"/>
          </w:tcPr>
          <w:p w14:paraId="27EFCB5C" w14:textId="77777777" w:rsidR="00474EF8" w:rsidRDefault="00474EF8" w:rsidP="00D932B6">
            <w:pPr>
              <w:ind w:firstLine="480"/>
              <w:jc w:val="center"/>
            </w:pPr>
            <w:r w:rsidRPr="00B94863">
              <w:t>-0.3660</w:t>
            </w:r>
          </w:p>
        </w:tc>
        <w:tc>
          <w:tcPr>
            <w:tcW w:w="1057" w:type="pct"/>
          </w:tcPr>
          <w:p w14:paraId="35595E11" w14:textId="77777777" w:rsidR="00474EF8" w:rsidRDefault="00474EF8" w:rsidP="00D932B6">
            <w:pPr>
              <w:ind w:firstLine="480"/>
              <w:jc w:val="center"/>
            </w:pPr>
            <w:r w:rsidRPr="00B94863">
              <w:t>-0.2545</w:t>
            </w:r>
          </w:p>
        </w:tc>
        <w:tc>
          <w:tcPr>
            <w:tcW w:w="1660" w:type="pct"/>
            <w:vAlign w:val="center"/>
          </w:tcPr>
          <w:p w14:paraId="407A7D41" w14:textId="77777777" w:rsidR="00474EF8" w:rsidRDefault="00474EF8" w:rsidP="00D932B6">
            <w:pPr>
              <w:ind w:firstLine="480"/>
              <w:jc w:val="center"/>
            </w:pPr>
            <w:r>
              <w:rPr>
                <w:rFonts w:hint="eastAsia"/>
                <w:color w:val="000000"/>
              </w:rPr>
              <w:t>C</w:t>
            </w:r>
          </w:p>
        </w:tc>
      </w:tr>
      <w:tr w:rsidR="00474EF8" w14:paraId="40AA1635" w14:textId="77777777" w:rsidTr="00D4192C">
        <w:tc>
          <w:tcPr>
            <w:tcW w:w="1078" w:type="pct"/>
            <w:vAlign w:val="center"/>
          </w:tcPr>
          <w:p w14:paraId="1E37F38E" w14:textId="77777777" w:rsidR="00474EF8" w:rsidRDefault="00474EF8" w:rsidP="00D4192C">
            <w:pPr>
              <w:ind w:firstLineChars="0" w:firstLine="0"/>
            </w:pPr>
            <w:r>
              <w:rPr>
                <w:rFonts w:hint="eastAsia"/>
              </w:rPr>
              <w:t>Yuanta Financial</w:t>
            </w:r>
          </w:p>
        </w:tc>
        <w:tc>
          <w:tcPr>
            <w:tcW w:w="1205" w:type="pct"/>
          </w:tcPr>
          <w:p w14:paraId="63875FBB" w14:textId="77777777" w:rsidR="00474EF8" w:rsidRDefault="00474EF8" w:rsidP="00D932B6">
            <w:pPr>
              <w:ind w:firstLine="480"/>
              <w:jc w:val="center"/>
            </w:pPr>
            <w:r w:rsidRPr="00B94863">
              <w:t>-0.0203</w:t>
            </w:r>
          </w:p>
        </w:tc>
        <w:tc>
          <w:tcPr>
            <w:tcW w:w="1057" w:type="pct"/>
          </w:tcPr>
          <w:p w14:paraId="5B707E45" w14:textId="77777777" w:rsidR="00474EF8" w:rsidRDefault="00474EF8" w:rsidP="00D932B6">
            <w:pPr>
              <w:ind w:firstLine="480"/>
              <w:jc w:val="center"/>
            </w:pPr>
            <w:r w:rsidRPr="00B94863">
              <w:t>-0.0270</w:t>
            </w:r>
          </w:p>
        </w:tc>
        <w:tc>
          <w:tcPr>
            <w:tcW w:w="1660" w:type="pct"/>
            <w:vAlign w:val="center"/>
          </w:tcPr>
          <w:p w14:paraId="05A90825" w14:textId="77777777" w:rsidR="00474EF8" w:rsidRDefault="00474EF8" w:rsidP="00D932B6">
            <w:pPr>
              <w:ind w:firstLine="480"/>
              <w:jc w:val="center"/>
            </w:pPr>
            <w:r>
              <w:rPr>
                <w:rFonts w:hint="eastAsia"/>
                <w:color w:val="000000"/>
              </w:rPr>
              <w:t>B</w:t>
            </w:r>
          </w:p>
        </w:tc>
      </w:tr>
      <w:tr w:rsidR="00474EF8" w14:paraId="3D1C486D" w14:textId="77777777" w:rsidTr="00D4192C">
        <w:tc>
          <w:tcPr>
            <w:tcW w:w="1078" w:type="pct"/>
            <w:vAlign w:val="center"/>
          </w:tcPr>
          <w:p w14:paraId="5822D3E2" w14:textId="77777777" w:rsidR="00474EF8" w:rsidRDefault="00474EF8" w:rsidP="00D4192C">
            <w:pPr>
              <w:ind w:firstLineChars="0" w:firstLine="0"/>
            </w:pPr>
            <w:proofErr w:type="spellStart"/>
            <w:r>
              <w:rPr>
                <w:rFonts w:hint="eastAsia"/>
              </w:rPr>
              <w:t>Taishin</w:t>
            </w:r>
            <w:proofErr w:type="spellEnd"/>
            <w:r>
              <w:rPr>
                <w:rFonts w:hint="eastAsia"/>
              </w:rPr>
              <w:t xml:space="preserve"> Financial</w:t>
            </w:r>
          </w:p>
        </w:tc>
        <w:tc>
          <w:tcPr>
            <w:tcW w:w="1205" w:type="pct"/>
          </w:tcPr>
          <w:p w14:paraId="4B275CC4" w14:textId="77777777" w:rsidR="00474EF8" w:rsidRDefault="00474EF8" w:rsidP="00D932B6">
            <w:pPr>
              <w:ind w:firstLine="480"/>
              <w:jc w:val="center"/>
            </w:pPr>
            <w:r w:rsidRPr="00B94863">
              <w:t>-0.1516</w:t>
            </w:r>
          </w:p>
        </w:tc>
        <w:tc>
          <w:tcPr>
            <w:tcW w:w="1057" w:type="pct"/>
          </w:tcPr>
          <w:p w14:paraId="401EB8F9" w14:textId="77777777" w:rsidR="00474EF8" w:rsidRDefault="00474EF8" w:rsidP="00D932B6">
            <w:pPr>
              <w:ind w:firstLine="480"/>
              <w:jc w:val="center"/>
            </w:pPr>
            <w:r w:rsidRPr="00B94863">
              <w:t>-0.0950</w:t>
            </w:r>
          </w:p>
        </w:tc>
        <w:tc>
          <w:tcPr>
            <w:tcW w:w="1660" w:type="pct"/>
            <w:vAlign w:val="center"/>
          </w:tcPr>
          <w:p w14:paraId="75AB0644" w14:textId="77777777" w:rsidR="00474EF8" w:rsidRDefault="00474EF8" w:rsidP="00D932B6">
            <w:pPr>
              <w:ind w:firstLine="480"/>
              <w:jc w:val="center"/>
            </w:pPr>
            <w:r>
              <w:rPr>
                <w:rFonts w:hint="eastAsia"/>
                <w:color w:val="000000"/>
              </w:rPr>
              <w:t>C</w:t>
            </w:r>
          </w:p>
        </w:tc>
      </w:tr>
      <w:tr w:rsidR="00474EF8" w14:paraId="60846D6F" w14:textId="77777777" w:rsidTr="00D4192C">
        <w:tc>
          <w:tcPr>
            <w:tcW w:w="1078" w:type="pct"/>
            <w:vAlign w:val="center"/>
          </w:tcPr>
          <w:p w14:paraId="011362D4" w14:textId="5BE4CDF4" w:rsidR="00474EF8" w:rsidRDefault="00474EF8" w:rsidP="00D4192C">
            <w:pPr>
              <w:ind w:firstLineChars="0" w:firstLine="0"/>
              <w:jc w:val="left"/>
            </w:pPr>
            <w:r>
              <w:rPr>
                <w:rFonts w:hint="eastAsia"/>
              </w:rPr>
              <w:t>Shin</w:t>
            </w:r>
            <w:r w:rsidR="00D4192C">
              <w:t xml:space="preserve"> </w:t>
            </w:r>
            <w:r>
              <w:rPr>
                <w:rFonts w:hint="eastAsia"/>
              </w:rPr>
              <w:t>Kong Financial</w:t>
            </w:r>
          </w:p>
        </w:tc>
        <w:tc>
          <w:tcPr>
            <w:tcW w:w="1205" w:type="pct"/>
          </w:tcPr>
          <w:p w14:paraId="5FC321B3" w14:textId="77777777" w:rsidR="00474EF8" w:rsidRDefault="00474EF8" w:rsidP="00D932B6">
            <w:pPr>
              <w:ind w:firstLine="480"/>
              <w:jc w:val="center"/>
            </w:pPr>
            <w:r w:rsidRPr="00B94863">
              <w:t>-0.2297</w:t>
            </w:r>
          </w:p>
        </w:tc>
        <w:tc>
          <w:tcPr>
            <w:tcW w:w="1057" w:type="pct"/>
          </w:tcPr>
          <w:p w14:paraId="5BF0C331" w14:textId="77777777" w:rsidR="00474EF8" w:rsidRDefault="00474EF8" w:rsidP="00D932B6">
            <w:pPr>
              <w:ind w:firstLine="480"/>
              <w:jc w:val="center"/>
            </w:pPr>
            <w:r w:rsidRPr="00B94863">
              <w:t>-0.2279</w:t>
            </w:r>
          </w:p>
        </w:tc>
        <w:tc>
          <w:tcPr>
            <w:tcW w:w="1660" w:type="pct"/>
            <w:vAlign w:val="center"/>
          </w:tcPr>
          <w:p w14:paraId="3E7D1B13" w14:textId="77777777" w:rsidR="00474EF8" w:rsidRDefault="00474EF8" w:rsidP="00D932B6">
            <w:pPr>
              <w:ind w:firstLine="480"/>
              <w:jc w:val="center"/>
            </w:pPr>
            <w:r>
              <w:rPr>
                <w:rFonts w:hint="eastAsia"/>
                <w:color w:val="000000"/>
              </w:rPr>
              <w:t>C</w:t>
            </w:r>
          </w:p>
        </w:tc>
      </w:tr>
      <w:tr w:rsidR="00474EF8" w14:paraId="5032C642" w14:textId="77777777" w:rsidTr="00D4192C">
        <w:tc>
          <w:tcPr>
            <w:tcW w:w="1078" w:type="pct"/>
            <w:vAlign w:val="center"/>
          </w:tcPr>
          <w:p w14:paraId="53672ABE" w14:textId="77777777" w:rsidR="00474EF8" w:rsidRDefault="00474EF8" w:rsidP="00D4192C">
            <w:pPr>
              <w:ind w:firstLineChars="0" w:firstLine="0"/>
            </w:pPr>
            <w:r>
              <w:rPr>
                <w:rFonts w:hint="eastAsia"/>
              </w:rPr>
              <w:t>CTBC Financial</w:t>
            </w:r>
          </w:p>
        </w:tc>
        <w:tc>
          <w:tcPr>
            <w:tcW w:w="1205" w:type="pct"/>
          </w:tcPr>
          <w:p w14:paraId="37DF98AF" w14:textId="77777777" w:rsidR="00474EF8" w:rsidRDefault="00474EF8" w:rsidP="00D932B6">
            <w:pPr>
              <w:ind w:firstLine="480"/>
              <w:jc w:val="center"/>
            </w:pPr>
            <w:r w:rsidRPr="00B94863">
              <w:t>-0.1322</w:t>
            </w:r>
          </w:p>
        </w:tc>
        <w:tc>
          <w:tcPr>
            <w:tcW w:w="1057" w:type="pct"/>
          </w:tcPr>
          <w:p w14:paraId="17F14D5D" w14:textId="77777777" w:rsidR="00474EF8" w:rsidRDefault="00474EF8" w:rsidP="00D932B6">
            <w:pPr>
              <w:ind w:firstLine="480"/>
              <w:jc w:val="center"/>
            </w:pPr>
            <w:r w:rsidRPr="00B94863">
              <w:t>-0.1100</w:t>
            </w:r>
          </w:p>
        </w:tc>
        <w:tc>
          <w:tcPr>
            <w:tcW w:w="1660" w:type="pct"/>
            <w:vAlign w:val="center"/>
          </w:tcPr>
          <w:p w14:paraId="1F31AFD2" w14:textId="77777777" w:rsidR="00474EF8" w:rsidRDefault="00474EF8" w:rsidP="00D932B6">
            <w:pPr>
              <w:ind w:firstLine="480"/>
              <w:jc w:val="center"/>
            </w:pPr>
            <w:r>
              <w:rPr>
                <w:rFonts w:hint="eastAsia"/>
                <w:color w:val="000000"/>
              </w:rPr>
              <w:t>C</w:t>
            </w:r>
          </w:p>
        </w:tc>
      </w:tr>
      <w:tr w:rsidR="00474EF8" w14:paraId="1598B17E" w14:textId="77777777" w:rsidTr="00D4192C">
        <w:tc>
          <w:tcPr>
            <w:tcW w:w="1078" w:type="pct"/>
            <w:vAlign w:val="center"/>
          </w:tcPr>
          <w:p w14:paraId="46ECA9F1" w14:textId="77777777" w:rsidR="00474EF8" w:rsidRDefault="00474EF8" w:rsidP="00D4192C">
            <w:pPr>
              <w:ind w:firstLineChars="0" w:firstLine="0"/>
            </w:pPr>
            <w:r>
              <w:rPr>
                <w:rFonts w:hint="eastAsia"/>
              </w:rPr>
              <w:t>First Financial</w:t>
            </w:r>
          </w:p>
        </w:tc>
        <w:tc>
          <w:tcPr>
            <w:tcW w:w="1205" w:type="pct"/>
          </w:tcPr>
          <w:p w14:paraId="004065D6" w14:textId="77777777" w:rsidR="00474EF8" w:rsidRDefault="00474EF8" w:rsidP="00D932B6">
            <w:pPr>
              <w:ind w:firstLine="480"/>
              <w:jc w:val="center"/>
            </w:pPr>
            <w:r w:rsidRPr="00B94863">
              <w:t>-0.0375</w:t>
            </w:r>
          </w:p>
        </w:tc>
        <w:tc>
          <w:tcPr>
            <w:tcW w:w="1057" w:type="pct"/>
          </w:tcPr>
          <w:p w14:paraId="418F69B5" w14:textId="77777777" w:rsidR="00474EF8" w:rsidRDefault="00474EF8" w:rsidP="00D932B6">
            <w:pPr>
              <w:ind w:firstLine="480"/>
              <w:jc w:val="center"/>
            </w:pPr>
            <w:r w:rsidRPr="00B94863">
              <w:t>-0.0457</w:t>
            </w:r>
          </w:p>
        </w:tc>
        <w:tc>
          <w:tcPr>
            <w:tcW w:w="1660" w:type="pct"/>
            <w:vAlign w:val="center"/>
          </w:tcPr>
          <w:p w14:paraId="35D7099E" w14:textId="77777777" w:rsidR="00474EF8" w:rsidRDefault="00474EF8" w:rsidP="00D932B6">
            <w:pPr>
              <w:ind w:firstLine="480"/>
              <w:jc w:val="center"/>
            </w:pPr>
            <w:r>
              <w:rPr>
                <w:rFonts w:hint="eastAsia"/>
                <w:color w:val="000000"/>
              </w:rPr>
              <w:t>B</w:t>
            </w:r>
          </w:p>
        </w:tc>
      </w:tr>
      <w:tr w:rsidR="00474EF8" w14:paraId="69A887E0" w14:textId="77777777" w:rsidTr="00D4192C">
        <w:tc>
          <w:tcPr>
            <w:tcW w:w="1078" w:type="pct"/>
            <w:vAlign w:val="center"/>
          </w:tcPr>
          <w:p w14:paraId="1DDDE001" w14:textId="77777777" w:rsidR="00474EF8" w:rsidRDefault="00474EF8" w:rsidP="00D4192C">
            <w:pPr>
              <w:ind w:firstLineChars="0" w:firstLine="0"/>
            </w:pPr>
            <w:r>
              <w:rPr>
                <w:rFonts w:hint="eastAsia"/>
              </w:rPr>
              <w:t>Cooperative Financial</w:t>
            </w:r>
          </w:p>
        </w:tc>
        <w:tc>
          <w:tcPr>
            <w:tcW w:w="1205" w:type="pct"/>
          </w:tcPr>
          <w:p w14:paraId="63E746CD" w14:textId="77777777" w:rsidR="00474EF8" w:rsidRDefault="00474EF8" w:rsidP="00D932B6">
            <w:pPr>
              <w:ind w:firstLine="480"/>
              <w:jc w:val="center"/>
            </w:pPr>
            <w:r w:rsidRPr="00B94863">
              <w:t>-0.0018</w:t>
            </w:r>
          </w:p>
        </w:tc>
        <w:tc>
          <w:tcPr>
            <w:tcW w:w="1057" w:type="pct"/>
          </w:tcPr>
          <w:p w14:paraId="3A940868" w14:textId="77777777" w:rsidR="00474EF8" w:rsidRDefault="00474EF8" w:rsidP="00D932B6">
            <w:pPr>
              <w:ind w:firstLine="480"/>
              <w:jc w:val="center"/>
            </w:pPr>
            <w:r w:rsidRPr="00B94863">
              <w:t>-0.0029</w:t>
            </w:r>
          </w:p>
        </w:tc>
        <w:tc>
          <w:tcPr>
            <w:tcW w:w="1660" w:type="pct"/>
            <w:vAlign w:val="center"/>
          </w:tcPr>
          <w:p w14:paraId="5C1340C4" w14:textId="77777777" w:rsidR="00474EF8" w:rsidRDefault="00474EF8" w:rsidP="00D932B6">
            <w:pPr>
              <w:ind w:firstLine="480"/>
              <w:jc w:val="center"/>
            </w:pPr>
            <w:r>
              <w:rPr>
                <w:rFonts w:hint="eastAsia"/>
                <w:color w:val="000000"/>
              </w:rPr>
              <w:t>A</w:t>
            </w:r>
          </w:p>
        </w:tc>
      </w:tr>
    </w:tbl>
    <w:p w14:paraId="01719311" w14:textId="56AC3A9F" w:rsidR="00474EF8" w:rsidRPr="001A267F" w:rsidRDefault="00474EF8" w:rsidP="00D22BB0">
      <w:pPr>
        <w:ind w:firstLineChars="0" w:firstLine="0"/>
        <w:jc w:val="left"/>
        <w:rPr>
          <w:rFonts w:ascii="Cambria" w:hAnsi="Cambria"/>
        </w:rPr>
      </w:pPr>
      <w:r>
        <w:rPr>
          <w:rFonts w:hint="eastAsia"/>
        </w:rPr>
        <w:t>Note: Confidenc</w:t>
      </w:r>
      <w:r>
        <w:t>e leve</w:t>
      </w:r>
      <w:r>
        <w:rPr>
          <w:rFonts w:hint="eastAsia"/>
        </w:rPr>
        <w:t xml:space="preserve">l </w:t>
      </w:r>
      <w:r>
        <w:t>is 95%</w:t>
      </w:r>
    </w:p>
    <w:p w14:paraId="536C4807" w14:textId="77777777" w:rsidR="005376CF" w:rsidRDefault="005376CF" w:rsidP="005376CF">
      <w:pPr>
        <w:ind w:firstLine="480"/>
      </w:pPr>
      <w:bookmarkStart w:id="36" w:name="_Toc113394922"/>
    </w:p>
    <w:p w14:paraId="19AE1B2C" w14:textId="462B8987" w:rsidR="00612B00" w:rsidRDefault="005376CF" w:rsidP="005376CF">
      <w:pPr>
        <w:ind w:firstLine="480"/>
      </w:pPr>
      <w:r>
        <w:t>To predict companies’ future value at risks, t</w:t>
      </w:r>
      <w:r w:rsidRPr="00A67454">
        <w:rPr>
          <w:rFonts w:hint="eastAsia"/>
        </w:rPr>
        <w:t>his study uses two models, EWMA (</w:t>
      </w:r>
      <w:proofErr w:type="spellStart"/>
      <w:r w:rsidRPr="00A67454">
        <w:rPr>
          <w:rFonts w:hint="eastAsia"/>
        </w:rPr>
        <w:t>Zangari</w:t>
      </w:r>
      <w:proofErr w:type="spellEnd"/>
      <w:r w:rsidRPr="00A67454">
        <w:rPr>
          <w:rFonts w:hint="eastAsia"/>
        </w:rPr>
        <w:t xml:space="preserve">, 1994) and GARCH (Engle, 2000), to predict the future Value at Risk for financial holding companies. </w:t>
      </w:r>
      <w:r>
        <w:t xml:space="preserve">In </w:t>
      </w:r>
      <w:r>
        <w:rPr>
          <w:rFonts w:hint="eastAsia"/>
        </w:rPr>
        <w:t xml:space="preserve">Table </w:t>
      </w:r>
      <w:r>
        <w:t>5</w:t>
      </w:r>
      <w:r w:rsidRPr="00A67454">
        <w:rPr>
          <w:rFonts w:hint="eastAsia"/>
        </w:rPr>
        <w:t xml:space="preserve">, it can be seen that </w:t>
      </w:r>
      <w:r>
        <w:rPr>
          <w:rFonts w:hint="eastAsia"/>
        </w:rPr>
        <w:t>there is no a</w:t>
      </w:r>
      <w:r w:rsidRPr="00A67454">
        <w:rPr>
          <w:rFonts w:hint="eastAsia"/>
        </w:rPr>
        <w:t xml:space="preserve">bsolute </w:t>
      </w:r>
      <w:r w:rsidR="0003583E">
        <w:t>relationship</w:t>
      </w:r>
      <w:r w:rsidRPr="00A67454">
        <w:rPr>
          <w:rFonts w:hint="eastAsia"/>
        </w:rPr>
        <w:t xml:space="preserve"> between the magnitude of</w:t>
      </w:r>
      <w:r>
        <w:rPr>
          <w:rFonts w:hint="eastAsia"/>
        </w:rPr>
        <w:t xml:space="preserve"> stock value at risk and the predicted solvency </w:t>
      </w:r>
      <w:r>
        <w:rPr>
          <w:rFonts w:hint="eastAsia"/>
        </w:rPr>
        <w:lastRenderedPageBreak/>
        <w:t xml:space="preserve">ratio rating of life insurance companies. However, according to the new Basel Accord III regulations, the proportion of common equity in the capital adequacy components must be higher. Therefore, to meet this new requirement, the market stock performance cannot have too high a Value at Risk, otherwise, in the event of a financial crisis, the solvency ratio will decrease. </w:t>
      </w:r>
      <w:r>
        <w:t>R</w:t>
      </w:r>
      <w:r>
        <w:rPr>
          <w:rFonts w:hint="eastAsia"/>
        </w:rPr>
        <w:t>egarding the recent predicted solvency ratio rating of A</w:t>
      </w:r>
      <w:r>
        <w:t>s</w:t>
      </w:r>
      <w:r>
        <w:rPr>
          <w:rFonts w:hint="eastAsia"/>
        </w:rPr>
        <w:t xml:space="preserve">, Fubon Financial has a low stock value at risk, </w:t>
      </w:r>
      <w:r>
        <w:t xml:space="preserve">so </w:t>
      </w:r>
      <w:r>
        <w:rPr>
          <w:rFonts w:hint="eastAsia"/>
        </w:rPr>
        <w:t xml:space="preserve">its solvency ratio A should not be affected by financial risks leading to stock price declines. In contrast, Cooperative </w:t>
      </w:r>
      <w:proofErr w:type="spellStart"/>
      <w:r>
        <w:rPr>
          <w:rFonts w:hint="eastAsia"/>
        </w:rPr>
        <w:t>Financial's</w:t>
      </w:r>
      <w:proofErr w:type="spellEnd"/>
      <w:r>
        <w:rPr>
          <w:rFonts w:hint="eastAsia"/>
        </w:rPr>
        <w:t xml:space="preserve"> solvency ratio A may be affected by financial risks and consequently downgraded. Similarly, Yuanta Financial, with a solvency ratio B, would also be downgraded due to financial risks. </w:t>
      </w:r>
      <w:proofErr w:type="spellStart"/>
      <w:r>
        <w:rPr>
          <w:rFonts w:hint="eastAsia"/>
        </w:rPr>
        <w:t>Taishin</w:t>
      </w:r>
      <w:proofErr w:type="spellEnd"/>
      <w:r>
        <w:rPr>
          <w:rFonts w:hint="eastAsia"/>
        </w:rPr>
        <w:t xml:space="preserve"> Financial and Shin Kong Financial, with solvency ratio C, currently</w:t>
      </w:r>
      <w:r>
        <w:t xml:space="preserve"> also</w:t>
      </w:r>
      <w:r>
        <w:rPr>
          <w:rFonts w:hint="eastAsia"/>
        </w:rPr>
        <w:t xml:space="preserve"> have </w:t>
      </w:r>
      <w:r>
        <w:t xml:space="preserve">the same </w:t>
      </w:r>
      <w:r>
        <w:rPr>
          <w:rFonts w:hint="eastAsia"/>
        </w:rPr>
        <w:t xml:space="preserve">solvency ratios of C </w:t>
      </w:r>
      <w:r>
        <w:t xml:space="preserve">because they </w:t>
      </w:r>
      <w:r>
        <w:rPr>
          <w:rFonts w:hint="eastAsia"/>
        </w:rPr>
        <w:t xml:space="preserve">do not have particularly </w:t>
      </w:r>
      <w:proofErr w:type="gramStart"/>
      <w:r>
        <w:rPr>
          <w:rFonts w:hint="eastAsia"/>
        </w:rPr>
        <w:t>high risk</w:t>
      </w:r>
      <w:proofErr w:type="gramEnd"/>
      <w:r>
        <w:rPr>
          <w:rFonts w:hint="eastAsia"/>
        </w:rPr>
        <w:t xml:space="preserve"> values, thus their solvency ratios </w:t>
      </w:r>
      <w:r>
        <w:t xml:space="preserve">seems </w:t>
      </w:r>
      <w:r>
        <w:rPr>
          <w:rFonts w:hint="eastAsia"/>
        </w:rPr>
        <w:t>more s</w:t>
      </w:r>
      <w:r>
        <w:t>t</w:t>
      </w:r>
      <w:r>
        <w:rPr>
          <w:rFonts w:hint="eastAsia"/>
        </w:rPr>
        <w:t>able.</w:t>
      </w:r>
    </w:p>
    <w:p w14:paraId="2FA16034" w14:textId="77777777" w:rsidR="001E0ABA" w:rsidRDefault="001E0ABA" w:rsidP="00474EF8">
      <w:pPr>
        <w:pStyle w:val="a2"/>
        <w:ind w:firstLine="480"/>
      </w:pPr>
    </w:p>
    <w:p w14:paraId="7D239BDC" w14:textId="77283A2E" w:rsidR="00474EF8" w:rsidRDefault="00612B00" w:rsidP="00474EF8">
      <w:pPr>
        <w:pStyle w:val="a2"/>
        <w:ind w:firstLine="480"/>
      </w:pPr>
      <w:r>
        <w:rPr>
          <w:rFonts w:hint="eastAsia"/>
        </w:rPr>
        <w:t xml:space="preserve">Table </w:t>
      </w:r>
      <w:r w:rsidR="005376CF">
        <w:t>5</w:t>
      </w:r>
      <w:r w:rsidR="00474EF8">
        <w:rPr>
          <w:rFonts w:hint="eastAsia"/>
        </w:rPr>
        <w:t xml:space="preserve"> Summary of Predicted Results for Financial Holding Company Value at Risk and Life Insurance Company Solvency Ratio Ratings</w:t>
      </w:r>
      <w:r w:rsidR="00474EF8">
        <w:fldChar w:fldCharType="begin"/>
      </w:r>
      <w:r w:rsidR="00474EF8">
        <w:instrText xml:space="preserve"> </w:instrText>
      </w:r>
      <w:r w:rsidR="00474EF8">
        <w:rPr>
          <w:rFonts w:hint="eastAsia"/>
        </w:rPr>
        <w:instrText xml:space="preserve">SEQ </w:instrText>
      </w:r>
      <w:r w:rsidR="00474EF8">
        <w:rPr>
          <w:rFonts w:hint="eastAsia"/>
        </w:rPr>
        <w:instrText>表</w:instrText>
      </w:r>
      <w:r w:rsidR="00474EF8">
        <w:rPr>
          <w:rFonts w:hint="eastAsia"/>
        </w:rPr>
        <w:instrText>4. \* ARABIC</w:instrText>
      </w:r>
      <w:r w:rsidR="00474EF8">
        <w:instrText xml:space="preserve"> </w:instrText>
      </w:r>
      <w:r w:rsidR="00000000">
        <w:fldChar w:fldCharType="separate"/>
      </w:r>
      <w:r w:rsidR="00474EF8">
        <w:fldChar w:fldCharType="end"/>
      </w:r>
      <w:bookmarkEnd w:id="36"/>
    </w:p>
    <w:tbl>
      <w:tblPr>
        <w:tblStyle w:val="TableGrid"/>
        <w:tblW w:w="5000" w:type="pct"/>
        <w:tblLook w:val="04A0" w:firstRow="1" w:lastRow="0" w:firstColumn="1" w:lastColumn="0" w:noHBand="0" w:noVBand="1"/>
      </w:tblPr>
      <w:tblGrid>
        <w:gridCol w:w="2133"/>
        <w:gridCol w:w="1822"/>
        <w:gridCol w:w="1887"/>
        <w:gridCol w:w="2454"/>
      </w:tblGrid>
      <w:tr w:rsidR="00474EF8" w14:paraId="45EACF4B" w14:textId="77777777" w:rsidTr="00D22BB0">
        <w:trPr>
          <w:trHeight w:val="618"/>
        </w:trPr>
        <w:tc>
          <w:tcPr>
            <w:tcW w:w="1286" w:type="pct"/>
            <w:vAlign w:val="center"/>
          </w:tcPr>
          <w:p w14:paraId="5A1F38F6" w14:textId="77777777" w:rsidR="00474EF8" w:rsidRDefault="00474EF8" w:rsidP="00D22BB0">
            <w:pPr>
              <w:ind w:firstLineChars="0" w:firstLine="0"/>
              <w:jc w:val="left"/>
            </w:pPr>
            <w:bookmarkStart w:id="37" w:name="_Hlk113275627"/>
            <w:r>
              <w:rPr>
                <w:rFonts w:hint="eastAsia"/>
              </w:rPr>
              <w:t>Company Name</w:t>
            </w:r>
          </w:p>
        </w:tc>
        <w:tc>
          <w:tcPr>
            <w:tcW w:w="1098" w:type="pct"/>
            <w:vAlign w:val="center"/>
          </w:tcPr>
          <w:p w14:paraId="7AD92C46" w14:textId="77777777" w:rsidR="00474EF8" w:rsidRDefault="00474EF8" w:rsidP="00D22BB0">
            <w:pPr>
              <w:ind w:firstLineChars="0" w:firstLine="0"/>
              <w:jc w:val="left"/>
            </w:pPr>
            <w:r>
              <w:t>EWMA Predicted Value at Risk</w:t>
            </w:r>
          </w:p>
          <w:p w14:paraId="788483BF" w14:textId="77777777" w:rsidR="00474EF8" w:rsidRDefault="00474EF8" w:rsidP="00D22BB0">
            <w:pPr>
              <w:ind w:firstLine="480"/>
              <w:jc w:val="left"/>
            </w:pPr>
          </w:p>
        </w:tc>
        <w:tc>
          <w:tcPr>
            <w:tcW w:w="1137" w:type="pct"/>
            <w:vAlign w:val="center"/>
          </w:tcPr>
          <w:p w14:paraId="0EBF1C38" w14:textId="77777777" w:rsidR="00474EF8" w:rsidRDefault="00474EF8" w:rsidP="00D22BB0">
            <w:pPr>
              <w:ind w:firstLineChars="0" w:firstLine="0"/>
              <w:jc w:val="left"/>
            </w:pPr>
            <w:r>
              <w:t>GARCH Predicted Value at Risk</w:t>
            </w:r>
          </w:p>
          <w:p w14:paraId="54AA3E20" w14:textId="77777777" w:rsidR="00474EF8" w:rsidRDefault="00474EF8" w:rsidP="00D22BB0">
            <w:pPr>
              <w:ind w:firstLine="480"/>
              <w:jc w:val="left"/>
            </w:pPr>
          </w:p>
        </w:tc>
        <w:tc>
          <w:tcPr>
            <w:tcW w:w="1480" w:type="pct"/>
            <w:vAlign w:val="center"/>
          </w:tcPr>
          <w:p w14:paraId="221E2ACB" w14:textId="77777777" w:rsidR="00474EF8" w:rsidRDefault="00474EF8" w:rsidP="00D22BB0">
            <w:pPr>
              <w:ind w:firstLineChars="0" w:firstLine="0"/>
              <w:jc w:val="left"/>
            </w:pPr>
            <w:r>
              <w:rPr>
                <w:rFonts w:hint="eastAsia"/>
              </w:rPr>
              <w:t>Predicted Result of Life Insurance Company Solvency Ratio Rating</w:t>
            </w:r>
            <w:r>
              <w:br/>
            </w:r>
          </w:p>
          <w:p w14:paraId="7A5C6710" w14:textId="77777777" w:rsidR="00474EF8" w:rsidRDefault="00474EF8" w:rsidP="00D22BB0">
            <w:pPr>
              <w:ind w:firstLine="480"/>
              <w:jc w:val="left"/>
            </w:pPr>
          </w:p>
        </w:tc>
      </w:tr>
      <w:tr w:rsidR="00474EF8" w14:paraId="1CC662DD" w14:textId="77777777" w:rsidTr="00D22BB0">
        <w:tc>
          <w:tcPr>
            <w:tcW w:w="1286" w:type="pct"/>
            <w:vAlign w:val="center"/>
          </w:tcPr>
          <w:p w14:paraId="5C1F3B19" w14:textId="77777777" w:rsidR="00474EF8" w:rsidRDefault="00474EF8" w:rsidP="00D22BB0">
            <w:pPr>
              <w:ind w:firstLineChars="0" w:firstLine="0"/>
            </w:pPr>
            <w:r>
              <w:rPr>
                <w:rFonts w:hint="eastAsia"/>
              </w:rPr>
              <w:t>Fubon Financial</w:t>
            </w:r>
          </w:p>
        </w:tc>
        <w:tc>
          <w:tcPr>
            <w:tcW w:w="1098" w:type="pct"/>
          </w:tcPr>
          <w:p w14:paraId="352B1988" w14:textId="77777777" w:rsidR="00474EF8" w:rsidRDefault="00474EF8" w:rsidP="00D932B6">
            <w:pPr>
              <w:ind w:firstLine="480"/>
              <w:jc w:val="center"/>
            </w:pPr>
            <w:r w:rsidRPr="005C3F39">
              <w:t>0.06638</w:t>
            </w:r>
          </w:p>
        </w:tc>
        <w:tc>
          <w:tcPr>
            <w:tcW w:w="1137" w:type="pct"/>
          </w:tcPr>
          <w:p w14:paraId="517F3C04" w14:textId="77777777" w:rsidR="00474EF8" w:rsidRDefault="00474EF8" w:rsidP="00D932B6">
            <w:pPr>
              <w:ind w:firstLine="480"/>
              <w:jc w:val="center"/>
            </w:pPr>
            <w:r w:rsidRPr="005C3F39">
              <w:t>0.08265</w:t>
            </w:r>
          </w:p>
        </w:tc>
        <w:tc>
          <w:tcPr>
            <w:tcW w:w="1480" w:type="pct"/>
            <w:vAlign w:val="center"/>
          </w:tcPr>
          <w:p w14:paraId="192E357B" w14:textId="77777777" w:rsidR="00474EF8" w:rsidRDefault="00474EF8" w:rsidP="00D932B6">
            <w:pPr>
              <w:ind w:firstLine="440"/>
              <w:jc w:val="center"/>
            </w:pPr>
            <w:r>
              <w:rPr>
                <w:rFonts w:hint="eastAsia"/>
                <w:color w:val="000000"/>
                <w:sz w:val="22"/>
              </w:rPr>
              <w:t>A</w:t>
            </w:r>
          </w:p>
        </w:tc>
      </w:tr>
      <w:tr w:rsidR="00474EF8" w14:paraId="62922A94" w14:textId="77777777" w:rsidTr="00D22BB0">
        <w:tc>
          <w:tcPr>
            <w:tcW w:w="1286" w:type="pct"/>
            <w:vAlign w:val="center"/>
          </w:tcPr>
          <w:p w14:paraId="01CB6E16" w14:textId="6D1A4215" w:rsidR="00474EF8" w:rsidRDefault="00D22BB0" w:rsidP="00D22BB0">
            <w:pPr>
              <w:ind w:firstLineChars="0" w:firstLine="0"/>
            </w:pPr>
            <w:r>
              <w:t>Cathay F</w:t>
            </w:r>
            <w:r w:rsidR="00474EF8">
              <w:rPr>
                <w:rFonts w:hint="eastAsia"/>
              </w:rPr>
              <w:t>inancial</w:t>
            </w:r>
          </w:p>
        </w:tc>
        <w:tc>
          <w:tcPr>
            <w:tcW w:w="1098" w:type="pct"/>
          </w:tcPr>
          <w:p w14:paraId="744B0580" w14:textId="77777777" w:rsidR="00474EF8" w:rsidRDefault="00474EF8" w:rsidP="00D932B6">
            <w:pPr>
              <w:ind w:firstLine="480"/>
              <w:jc w:val="center"/>
            </w:pPr>
            <w:r w:rsidRPr="005C3F39">
              <w:t>0.14478</w:t>
            </w:r>
          </w:p>
        </w:tc>
        <w:tc>
          <w:tcPr>
            <w:tcW w:w="1137" w:type="pct"/>
          </w:tcPr>
          <w:p w14:paraId="7D1EF297" w14:textId="77777777" w:rsidR="00474EF8" w:rsidRDefault="00474EF8" w:rsidP="00D932B6">
            <w:pPr>
              <w:ind w:firstLine="480"/>
              <w:jc w:val="center"/>
            </w:pPr>
            <w:r w:rsidRPr="005C3F39">
              <w:t>0.17887</w:t>
            </w:r>
          </w:p>
        </w:tc>
        <w:tc>
          <w:tcPr>
            <w:tcW w:w="1480" w:type="pct"/>
            <w:vAlign w:val="center"/>
          </w:tcPr>
          <w:p w14:paraId="274D7BC6" w14:textId="77777777" w:rsidR="00474EF8" w:rsidRDefault="00474EF8" w:rsidP="00D932B6">
            <w:pPr>
              <w:ind w:firstLine="440"/>
              <w:jc w:val="center"/>
            </w:pPr>
            <w:r>
              <w:rPr>
                <w:rFonts w:hint="eastAsia"/>
                <w:color w:val="000000"/>
                <w:sz w:val="22"/>
              </w:rPr>
              <w:t>B</w:t>
            </w:r>
          </w:p>
        </w:tc>
      </w:tr>
      <w:tr w:rsidR="00474EF8" w14:paraId="6A09F02E" w14:textId="77777777" w:rsidTr="00D22BB0">
        <w:tc>
          <w:tcPr>
            <w:tcW w:w="1286" w:type="pct"/>
            <w:vAlign w:val="center"/>
          </w:tcPr>
          <w:p w14:paraId="1C784CD4" w14:textId="77777777" w:rsidR="00474EF8" w:rsidRDefault="00474EF8" w:rsidP="00D22BB0">
            <w:pPr>
              <w:ind w:firstLineChars="0" w:firstLine="0"/>
            </w:pPr>
            <w:r>
              <w:rPr>
                <w:rFonts w:hint="eastAsia"/>
              </w:rPr>
              <w:t>Development Financial</w:t>
            </w:r>
          </w:p>
        </w:tc>
        <w:tc>
          <w:tcPr>
            <w:tcW w:w="1098" w:type="pct"/>
          </w:tcPr>
          <w:p w14:paraId="4E282B6B" w14:textId="77777777" w:rsidR="00474EF8" w:rsidRDefault="00474EF8" w:rsidP="00D932B6">
            <w:pPr>
              <w:ind w:firstLine="480"/>
              <w:jc w:val="center"/>
            </w:pPr>
            <w:r w:rsidRPr="005C3F39">
              <w:t>0.06355</w:t>
            </w:r>
          </w:p>
        </w:tc>
        <w:tc>
          <w:tcPr>
            <w:tcW w:w="1137" w:type="pct"/>
          </w:tcPr>
          <w:p w14:paraId="76168FDE" w14:textId="77777777" w:rsidR="00474EF8" w:rsidRDefault="00474EF8" w:rsidP="00D932B6">
            <w:pPr>
              <w:ind w:firstLine="480"/>
              <w:jc w:val="center"/>
            </w:pPr>
            <w:r w:rsidRPr="005C3F39">
              <w:t>0.08709</w:t>
            </w:r>
          </w:p>
        </w:tc>
        <w:tc>
          <w:tcPr>
            <w:tcW w:w="1480" w:type="pct"/>
            <w:vAlign w:val="center"/>
          </w:tcPr>
          <w:p w14:paraId="5A9A3C58" w14:textId="77777777" w:rsidR="00474EF8" w:rsidRDefault="00474EF8" w:rsidP="00D932B6">
            <w:pPr>
              <w:ind w:firstLine="440"/>
              <w:jc w:val="center"/>
            </w:pPr>
            <w:r>
              <w:rPr>
                <w:rFonts w:hint="eastAsia"/>
                <w:color w:val="000000"/>
                <w:sz w:val="22"/>
              </w:rPr>
              <w:t>B</w:t>
            </w:r>
          </w:p>
        </w:tc>
      </w:tr>
      <w:tr w:rsidR="00474EF8" w14:paraId="2FC8E8B6" w14:textId="77777777" w:rsidTr="00D22BB0">
        <w:tc>
          <w:tcPr>
            <w:tcW w:w="1286" w:type="pct"/>
            <w:vAlign w:val="center"/>
          </w:tcPr>
          <w:p w14:paraId="1A500A5A" w14:textId="77777777" w:rsidR="00474EF8" w:rsidRDefault="00474EF8" w:rsidP="00D22BB0">
            <w:pPr>
              <w:ind w:firstLineChars="0" w:firstLine="0"/>
            </w:pPr>
            <w:r>
              <w:rPr>
                <w:rFonts w:hint="eastAsia"/>
              </w:rPr>
              <w:t>Yuanta Financial</w:t>
            </w:r>
          </w:p>
        </w:tc>
        <w:tc>
          <w:tcPr>
            <w:tcW w:w="1098" w:type="pct"/>
          </w:tcPr>
          <w:p w14:paraId="0BA9D8EB" w14:textId="77777777" w:rsidR="00474EF8" w:rsidRDefault="00474EF8" w:rsidP="00D932B6">
            <w:pPr>
              <w:ind w:firstLine="480"/>
              <w:jc w:val="center"/>
            </w:pPr>
            <w:r w:rsidRPr="005C3F39">
              <w:t>-0.04368</w:t>
            </w:r>
          </w:p>
        </w:tc>
        <w:tc>
          <w:tcPr>
            <w:tcW w:w="1137" w:type="pct"/>
          </w:tcPr>
          <w:p w14:paraId="0DF36805" w14:textId="77777777" w:rsidR="00474EF8" w:rsidRDefault="00474EF8" w:rsidP="00D932B6">
            <w:pPr>
              <w:ind w:firstLine="480"/>
              <w:jc w:val="center"/>
            </w:pPr>
            <w:r w:rsidRPr="005C3F39">
              <w:t>-0.03947</w:t>
            </w:r>
          </w:p>
        </w:tc>
        <w:tc>
          <w:tcPr>
            <w:tcW w:w="1480" w:type="pct"/>
            <w:vAlign w:val="center"/>
          </w:tcPr>
          <w:p w14:paraId="4DEA4794" w14:textId="77777777" w:rsidR="00474EF8" w:rsidRDefault="00474EF8" w:rsidP="00D932B6">
            <w:pPr>
              <w:ind w:firstLine="440"/>
              <w:jc w:val="center"/>
            </w:pPr>
            <w:r>
              <w:rPr>
                <w:rFonts w:hint="eastAsia"/>
                <w:color w:val="000000"/>
                <w:sz w:val="22"/>
              </w:rPr>
              <w:t>B</w:t>
            </w:r>
          </w:p>
        </w:tc>
      </w:tr>
      <w:tr w:rsidR="00474EF8" w14:paraId="0321DBE8" w14:textId="77777777" w:rsidTr="00D22BB0">
        <w:tc>
          <w:tcPr>
            <w:tcW w:w="1286" w:type="pct"/>
            <w:vAlign w:val="center"/>
          </w:tcPr>
          <w:p w14:paraId="49944FD4" w14:textId="77777777" w:rsidR="00474EF8" w:rsidRDefault="00474EF8" w:rsidP="00D22BB0">
            <w:pPr>
              <w:ind w:firstLineChars="0" w:firstLine="0"/>
            </w:pPr>
            <w:proofErr w:type="spellStart"/>
            <w:r>
              <w:rPr>
                <w:rFonts w:hint="eastAsia"/>
              </w:rPr>
              <w:t>Taishin</w:t>
            </w:r>
            <w:proofErr w:type="spellEnd"/>
            <w:r>
              <w:rPr>
                <w:rFonts w:hint="eastAsia"/>
              </w:rPr>
              <w:t xml:space="preserve"> Financial</w:t>
            </w:r>
          </w:p>
        </w:tc>
        <w:tc>
          <w:tcPr>
            <w:tcW w:w="1098" w:type="pct"/>
          </w:tcPr>
          <w:p w14:paraId="59C75D51" w14:textId="77777777" w:rsidR="00474EF8" w:rsidRDefault="00474EF8" w:rsidP="00D932B6">
            <w:pPr>
              <w:ind w:firstLine="480"/>
              <w:jc w:val="center"/>
            </w:pPr>
            <w:r w:rsidRPr="005C3F39">
              <w:t>0.02177</w:t>
            </w:r>
          </w:p>
        </w:tc>
        <w:tc>
          <w:tcPr>
            <w:tcW w:w="1137" w:type="pct"/>
          </w:tcPr>
          <w:p w14:paraId="5053DC71" w14:textId="77777777" w:rsidR="00474EF8" w:rsidRDefault="00474EF8" w:rsidP="00D932B6">
            <w:pPr>
              <w:ind w:firstLine="480"/>
              <w:jc w:val="center"/>
            </w:pPr>
            <w:r w:rsidRPr="005C3F39">
              <w:t>0.02441</w:t>
            </w:r>
          </w:p>
        </w:tc>
        <w:tc>
          <w:tcPr>
            <w:tcW w:w="1480" w:type="pct"/>
            <w:vAlign w:val="center"/>
          </w:tcPr>
          <w:p w14:paraId="3C3CCA18" w14:textId="77777777" w:rsidR="00474EF8" w:rsidRDefault="00474EF8" w:rsidP="00D932B6">
            <w:pPr>
              <w:ind w:firstLine="440"/>
              <w:jc w:val="center"/>
            </w:pPr>
            <w:r>
              <w:rPr>
                <w:rFonts w:hint="eastAsia"/>
                <w:color w:val="000000"/>
                <w:sz w:val="22"/>
              </w:rPr>
              <w:t>C</w:t>
            </w:r>
          </w:p>
        </w:tc>
      </w:tr>
      <w:tr w:rsidR="00474EF8" w14:paraId="598F5AA8" w14:textId="77777777" w:rsidTr="00D22BB0">
        <w:tc>
          <w:tcPr>
            <w:tcW w:w="1286" w:type="pct"/>
            <w:vAlign w:val="center"/>
          </w:tcPr>
          <w:p w14:paraId="44FDF6F2" w14:textId="207E1917" w:rsidR="00474EF8" w:rsidRDefault="00474EF8" w:rsidP="00D22BB0">
            <w:pPr>
              <w:ind w:firstLineChars="0" w:firstLine="0"/>
              <w:jc w:val="left"/>
            </w:pPr>
            <w:r>
              <w:rPr>
                <w:rFonts w:hint="eastAsia"/>
              </w:rPr>
              <w:t>Shin</w:t>
            </w:r>
            <w:r w:rsidR="00D22BB0">
              <w:t xml:space="preserve"> </w:t>
            </w:r>
            <w:r>
              <w:rPr>
                <w:rFonts w:hint="eastAsia"/>
              </w:rPr>
              <w:t>Kong Financial</w:t>
            </w:r>
          </w:p>
        </w:tc>
        <w:tc>
          <w:tcPr>
            <w:tcW w:w="1098" w:type="pct"/>
          </w:tcPr>
          <w:p w14:paraId="5DF78D70" w14:textId="77777777" w:rsidR="00474EF8" w:rsidRDefault="00474EF8" w:rsidP="00D932B6">
            <w:pPr>
              <w:ind w:firstLine="480"/>
              <w:jc w:val="center"/>
            </w:pPr>
            <w:r w:rsidRPr="005C3F39">
              <w:t>0.13823</w:t>
            </w:r>
          </w:p>
        </w:tc>
        <w:tc>
          <w:tcPr>
            <w:tcW w:w="1137" w:type="pct"/>
          </w:tcPr>
          <w:p w14:paraId="7CF9E544" w14:textId="77777777" w:rsidR="00474EF8" w:rsidRDefault="00474EF8" w:rsidP="00D932B6">
            <w:pPr>
              <w:ind w:firstLine="480"/>
              <w:jc w:val="center"/>
            </w:pPr>
            <w:r w:rsidRPr="005C3F39">
              <w:t>0.15445</w:t>
            </w:r>
          </w:p>
        </w:tc>
        <w:tc>
          <w:tcPr>
            <w:tcW w:w="1480" w:type="pct"/>
            <w:vAlign w:val="center"/>
          </w:tcPr>
          <w:p w14:paraId="19DD4AE8" w14:textId="77777777" w:rsidR="00474EF8" w:rsidRDefault="00474EF8" w:rsidP="00D932B6">
            <w:pPr>
              <w:ind w:firstLine="440"/>
              <w:jc w:val="center"/>
            </w:pPr>
            <w:r>
              <w:rPr>
                <w:rFonts w:hint="eastAsia"/>
                <w:color w:val="000000"/>
                <w:sz w:val="22"/>
              </w:rPr>
              <w:t>C</w:t>
            </w:r>
          </w:p>
        </w:tc>
      </w:tr>
      <w:tr w:rsidR="00474EF8" w14:paraId="23EA1260" w14:textId="77777777" w:rsidTr="00D22BB0">
        <w:tc>
          <w:tcPr>
            <w:tcW w:w="1286" w:type="pct"/>
            <w:vAlign w:val="center"/>
          </w:tcPr>
          <w:p w14:paraId="6B95B798" w14:textId="77777777" w:rsidR="00474EF8" w:rsidRDefault="00474EF8" w:rsidP="00D22BB0">
            <w:pPr>
              <w:ind w:firstLineChars="0" w:firstLine="0"/>
            </w:pPr>
            <w:r>
              <w:rPr>
                <w:rFonts w:hint="eastAsia"/>
              </w:rPr>
              <w:t>CTBC Financial</w:t>
            </w:r>
          </w:p>
        </w:tc>
        <w:tc>
          <w:tcPr>
            <w:tcW w:w="1098" w:type="pct"/>
          </w:tcPr>
          <w:p w14:paraId="69B136E1" w14:textId="77777777" w:rsidR="00474EF8" w:rsidRDefault="00474EF8" w:rsidP="00D932B6">
            <w:pPr>
              <w:ind w:firstLine="480"/>
              <w:jc w:val="center"/>
            </w:pPr>
            <w:r w:rsidRPr="005C3F39">
              <w:t>0.05696</w:t>
            </w:r>
          </w:p>
        </w:tc>
        <w:tc>
          <w:tcPr>
            <w:tcW w:w="1137" w:type="pct"/>
          </w:tcPr>
          <w:p w14:paraId="4E934EE6" w14:textId="77777777" w:rsidR="00474EF8" w:rsidRDefault="00474EF8" w:rsidP="00D932B6">
            <w:pPr>
              <w:ind w:firstLine="480"/>
              <w:jc w:val="center"/>
            </w:pPr>
            <w:r w:rsidRPr="005C3F39">
              <w:t>0.06239</w:t>
            </w:r>
          </w:p>
        </w:tc>
        <w:tc>
          <w:tcPr>
            <w:tcW w:w="1480" w:type="pct"/>
            <w:vAlign w:val="center"/>
          </w:tcPr>
          <w:p w14:paraId="04469C62" w14:textId="77777777" w:rsidR="00474EF8" w:rsidRDefault="00474EF8" w:rsidP="00D932B6">
            <w:pPr>
              <w:ind w:firstLine="480"/>
              <w:jc w:val="center"/>
            </w:pPr>
            <w:r>
              <w:rPr>
                <w:rFonts w:hint="eastAsia"/>
              </w:rPr>
              <w:t>B</w:t>
            </w:r>
          </w:p>
        </w:tc>
      </w:tr>
      <w:tr w:rsidR="00474EF8" w14:paraId="454A1A67" w14:textId="77777777" w:rsidTr="00D22BB0">
        <w:tc>
          <w:tcPr>
            <w:tcW w:w="1286" w:type="pct"/>
            <w:vAlign w:val="center"/>
          </w:tcPr>
          <w:p w14:paraId="65CFBE3F" w14:textId="77777777" w:rsidR="00474EF8" w:rsidRDefault="00474EF8" w:rsidP="00D22BB0">
            <w:pPr>
              <w:ind w:firstLineChars="0" w:firstLine="0"/>
            </w:pPr>
            <w:r>
              <w:rPr>
                <w:rFonts w:hint="eastAsia"/>
              </w:rPr>
              <w:t>First Financial</w:t>
            </w:r>
          </w:p>
        </w:tc>
        <w:tc>
          <w:tcPr>
            <w:tcW w:w="1098" w:type="pct"/>
          </w:tcPr>
          <w:p w14:paraId="6DC25AC3" w14:textId="77777777" w:rsidR="00474EF8" w:rsidRDefault="00474EF8" w:rsidP="00D932B6">
            <w:pPr>
              <w:ind w:firstLine="480"/>
              <w:jc w:val="center"/>
            </w:pPr>
            <w:r w:rsidRPr="005C3F39">
              <w:t>0.00943</w:t>
            </w:r>
          </w:p>
        </w:tc>
        <w:tc>
          <w:tcPr>
            <w:tcW w:w="1137" w:type="pct"/>
          </w:tcPr>
          <w:p w14:paraId="5420EFE9" w14:textId="77777777" w:rsidR="00474EF8" w:rsidRDefault="00474EF8" w:rsidP="00D932B6">
            <w:pPr>
              <w:ind w:firstLine="480"/>
              <w:jc w:val="center"/>
            </w:pPr>
            <w:r w:rsidRPr="005C3F39">
              <w:t>0.00952</w:t>
            </w:r>
          </w:p>
        </w:tc>
        <w:tc>
          <w:tcPr>
            <w:tcW w:w="1480" w:type="pct"/>
            <w:vAlign w:val="center"/>
          </w:tcPr>
          <w:p w14:paraId="0EA0AE44" w14:textId="77777777" w:rsidR="00474EF8" w:rsidRDefault="00474EF8" w:rsidP="00D932B6">
            <w:pPr>
              <w:ind w:firstLine="480"/>
              <w:jc w:val="center"/>
            </w:pPr>
            <w:r>
              <w:rPr>
                <w:rFonts w:hint="eastAsia"/>
              </w:rPr>
              <w:t>B</w:t>
            </w:r>
          </w:p>
        </w:tc>
      </w:tr>
      <w:tr w:rsidR="00474EF8" w14:paraId="40A6C24F" w14:textId="77777777" w:rsidTr="00D22BB0">
        <w:tc>
          <w:tcPr>
            <w:tcW w:w="1286" w:type="pct"/>
            <w:vAlign w:val="center"/>
          </w:tcPr>
          <w:p w14:paraId="46E3C7FF" w14:textId="77777777" w:rsidR="00474EF8" w:rsidRDefault="00474EF8" w:rsidP="00D22BB0">
            <w:pPr>
              <w:ind w:firstLineChars="0" w:firstLine="0"/>
            </w:pPr>
            <w:r>
              <w:rPr>
                <w:rFonts w:hint="eastAsia"/>
              </w:rPr>
              <w:t>Cooperative Financial</w:t>
            </w:r>
          </w:p>
        </w:tc>
        <w:tc>
          <w:tcPr>
            <w:tcW w:w="1098" w:type="pct"/>
          </w:tcPr>
          <w:p w14:paraId="2B7C4EAA" w14:textId="77777777" w:rsidR="00474EF8" w:rsidRDefault="00474EF8" w:rsidP="00D932B6">
            <w:pPr>
              <w:ind w:firstLine="480"/>
              <w:jc w:val="center"/>
            </w:pPr>
            <w:r w:rsidRPr="005C3F39">
              <w:t>-0.05204</w:t>
            </w:r>
          </w:p>
        </w:tc>
        <w:tc>
          <w:tcPr>
            <w:tcW w:w="1137" w:type="pct"/>
          </w:tcPr>
          <w:p w14:paraId="5AE29F1B" w14:textId="77777777" w:rsidR="00474EF8" w:rsidRDefault="00474EF8" w:rsidP="00D932B6">
            <w:pPr>
              <w:ind w:firstLine="480"/>
              <w:jc w:val="center"/>
            </w:pPr>
            <w:r w:rsidRPr="005C3F39">
              <w:t>-0.05751</w:t>
            </w:r>
          </w:p>
        </w:tc>
        <w:tc>
          <w:tcPr>
            <w:tcW w:w="1480" w:type="pct"/>
            <w:vAlign w:val="center"/>
          </w:tcPr>
          <w:p w14:paraId="42FEB65C" w14:textId="77777777" w:rsidR="00474EF8" w:rsidRDefault="00474EF8" w:rsidP="00D932B6">
            <w:pPr>
              <w:ind w:firstLine="480"/>
              <w:jc w:val="center"/>
            </w:pPr>
            <w:r>
              <w:rPr>
                <w:rFonts w:hint="eastAsia"/>
              </w:rPr>
              <w:t>A</w:t>
            </w:r>
          </w:p>
        </w:tc>
      </w:tr>
    </w:tbl>
    <w:bookmarkEnd w:id="37"/>
    <w:p w14:paraId="58793733" w14:textId="117E3F23" w:rsidR="00474EF8" w:rsidRPr="001A267F" w:rsidRDefault="00474EF8" w:rsidP="0052127E">
      <w:pPr>
        <w:ind w:firstLineChars="0" w:firstLine="0"/>
        <w:rPr>
          <w:rFonts w:ascii="Cambria" w:hAnsi="Cambria"/>
        </w:rPr>
      </w:pPr>
      <w:r>
        <w:rPr>
          <w:rFonts w:hint="eastAsia"/>
        </w:rPr>
        <w:t>Note: Confidenc</w:t>
      </w:r>
      <w:r>
        <w:t>e leve</w:t>
      </w:r>
      <w:r>
        <w:rPr>
          <w:rFonts w:hint="eastAsia"/>
        </w:rPr>
        <w:t>l</w:t>
      </w:r>
      <w:r>
        <w:t xml:space="preserve"> is 95%</w:t>
      </w:r>
    </w:p>
    <w:p w14:paraId="6B6815BA" w14:textId="77777777" w:rsidR="001E0ABA" w:rsidRDefault="001E0ABA" w:rsidP="001E0ABA">
      <w:pPr>
        <w:ind w:firstLine="480"/>
      </w:pPr>
    </w:p>
    <w:p w14:paraId="25989B24" w14:textId="77777777" w:rsidR="0052127E" w:rsidRPr="001E0ABA" w:rsidRDefault="0052127E" w:rsidP="00185D00">
      <w:pPr>
        <w:pStyle w:val="Title"/>
        <w:ind w:firstLineChars="0" w:firstLine="0"/>
        <w:jc w:val="both"/>
      </w:pPr>
    </w:p>
    <w:p w14:paraId="763A7099" w14:textId="77777777" w:rsidR="0052127E" w:rsidRDefault="0052127E" w:rsidP="00474EF8">
      <w:pPr>
        <w:ind w:firstLine="480"/>
      </w:pPr>
    </w:p>
    <w:p w14:paraId="01CBBCCD" w14:textId="53FBFB35" w:rsidR="00D44284" w:rsidRDefault="00D22BB0" w:rsidP="00185D00">
      <w:pPr>
        <w:pStyle w:val="Title"/>
        <w:ind w:firstLineChars="0" w:firstLine="0"/>
        <w:jc w:val="both"/>
      </w:pPr>
      <w:r>
        <w:t>5. Con</w:t>
      </w:r>
      <w:r w:rsidR="00D44284">
        <w:rPr>
          <w:rFonts w:hint="eastAsia"/>
        </w:rPr>
        <w:t>clusion</w:t>
      </w:r>
    </w:p>
    <w:p w14:paraId="0016B9E7" w14:textId="77777777" w:rsidR="00D44284" w:rsidRDefault="00D44284" w:rsidP="00D44284">
      <w:pPr>
        <w:ind w:firstLine="480"/>
      </w:pPr>
      <w:r>
        <w:rPr>
          <w:rFonts w:hint="eastAsia"/>
        </w:rPr>
        <w:t>This study focuses on nine financial holding companies in Taiwan's listed financial and insurance industry that have significant life insurance subsidiaries. Data for</w:t>
      </w:r>
      <w:r>
        <w:t xml:space="preserve"> financial </w:t>
      </w:r>
      <w:r>
        <w:rPr>
          <w:rFonts w:hint="eastAsia"/>
        </w:rPr>
        <w:t>holding companies and life insurance companies from 2019 to 2021, a total of three years, were collected f</w:t>
      </w:r>
      <w:r>
        <w:t>rom TEJ and</w:t>
      </w:r>
      <w:r>
        <w:rPr>
          <w:rFonts w:hint="eastAsia"/>
        </w:rPr>
        <w:t xml:space="preserve"> the In</w:t>
      </w:r>
      <w:r>
        <w:t>surance Industr</w:t>
      </w:r>
      <w:r>
        <w:rPr>
          <w:rFonts w:hint="eastAsia"/>
        </w:rPr>
        <w:t>y Public Information Observation Center. This data was used to explore the relationship between the solvency ratio of life insurance companies and the risk domains of their financial holding parent companies. Empirical results show that the solvency ratio rating of life insurance companies is significantly correlated with the stock risk, operational risk, and other risks of their financial holding par</w:t>
      </w:r>
      <w:r w:rsidRPr="003F6FAB">
        <w:rPr>
          <w:rFonts w:hint="eastAsia"/>
        </w:rPr>
        <w:t>ent companies; the significance with liquidity risk is less clear.</w:t>
      </w:r>
    </w:p>
    <w:p w14:paraId="5DED39D2" w14:textId="506E8C03" w:rsidR="00D44284" w:rsidRDefault="00D44284" w:rsidP="00185D00">
      <w:pPr>
        <w:pStyle w:val="Title"/>
        <w:ind w:firstLineChars="0" w:firstLine="0"/>
        <w:jc w:val="both"/>
      </w:pPr>
      <w:bookmarkStart w:id="38" w:name="_Toc113394909"/>
      <w:r>
        <w:rPr>
          <w:rFonts w:hint="eastAsia"/>
        </w:rPr>
        <w:t>References</w:t>
      </w:r>
      <w:bookmarkEnd w:id="38"/>
    </w:p>
    <w:p w14:paraId="70D01195" w14:textId="5518BE80" w:rsidR="00D44284" w:rsidRPr="00360FF2" w:rsidRDefault="00D44284" w:rsidP="00185D00">
      <w:pPr>
        <w:pStyle w:val="EndNoteBibliography"/>
        <w:ind w:left="480" w:hangingChars="200" w:hanging="480"/>
        <w:rPr>
          <w:rFonts w:ascii="Times New Roman" w:hAnsi="Times New Roman" w:cs="Times New Roman"/>
          <w:noProof/>
        </w:rPr>
      </w:pPr>
      <w:r w:rsidRPr="00360FF2">
        <w:rPr>
          <w:rFonts w:ascii="Times New Roman" w:hAnsi="Times New Roman" w:cs="Times New Roman"/>
          <w:noProof/>
        </w:rPr>
        <w:t>BarNiv, R., &amp; Hershbarger, R. A. (1990). Classifying Financial Distress in the Life Insurance Industry.</w:t>
      </w:r>
      <w:r w:rsidRPr="00360FF2">
        <w:rPr>
          <w:rFonts w:ascii="Times New Roman" w:hAnsi="Times New Roman" w:cs="Times New Roman"/>
          <w:i/>
          <w:noProof/>
        </w:rPr>
        <w:t xml:space="preserve"> The Journal of Risk and Insuranc</w:t>
      </w:r>
      <w:r w:rsidRPr="00360FF2">
        <w:rPr>
          <w:rFonts w:ascii="Times New Roman" w:hAnsi="Times New Roman" w:cs="Times New Roman"/>
          <w:noProof/>
        </w:rPr>
        <w:t>e</w:t>
      </w:r>
      <w:r w:rsidRPr="00360FF2">
        <w:rPr>
          <w:rFonts w:ascii="Times New Roman" w:hAnsi="Times New Roman" w:cs="Times New Roman"/>
          <w:i/>
          <w:noProof/>
        </w:rPr>
        <w:t>, 5</w:t>
      </w:r>
      <w:r w:rsidRPr="00360FF2">
        <w:rPr>
          <w:rFonts w:ascii="Times New Roman" w:hAnsi="Times New Roman" w:cs="Times New Roman"/>
          <w:noProof/>
        </w:rPr>
        <w:t>7(1), 110-136.</w:t>
      </w:r>
      <w:hyperlink r:id="rId16" w:history="1">
        <w:r w:rsidRPr="00360FF2">
          <w:rPr>
            <w:rStyle w:val="Hyperlink"/>
            <w:rFonts w:ascii="Times New Roman" w:hAnsi="Times New Roman" w:cs="Times New Roman"/>
            <w:noProof/>
          </w:rPr>
          <w:t xml:space="preserve"> https://doi.org/10.2307/25292</w:t>
        </w:r>
      </w:hyperlink>
      <w:r w:rsidRPr="00360FF2">
        <w:rPr>
          <w:rFonts w:ascii="Times New Roman" w:hAnsi="Times New Roman" w:cs="Times New Roman"/>
          <w:noProof/>
        </w:rPr>
        <w:t xml:space="preserve">7 </w:t>
      </w:r>
    </w:p>
    <w:p w14:paraId="793F6395" w14:textId="77777777" w:rsidR="00D44284" w:rsidRPr="00360FF2" w:rsidRDefault="00D44284" w:rsidP="00185D00">
      <w:pPr>
        <w:pStyle w:val="EndNoteBibliography"/>
        <w:ind w:left="480" w:hangingChars="200" w:hanging="480"/>
        <w:rPr>
          <w:rFonts w:ascii="Times New Roman" w:hAnsi="Times New Roman" w:cs="Times New Roman"/>
          <w:noProof/>
        </w:rPr>
      </w:pPr>
      <w:r w:rsidRPr="00360FF2">
        <w:rPr>
          <w:rFonts w:ascii="Times New Roman" w:hAnsi="Times New Roman" w:cs="Times New Roman"/>
          <w:noProof/>
        </w:rPr>
        <w:t xml:space="preserve">Cummins, J. D. P., Richard D. (2009). Capital Adequacy and Insurance Risk-Based Capital Systems. </w:t>
      </w:r>
      <w:r w:rsidRPr="00360FF2">
        <w:rPr>
          <w:rFonts w:ascii="Times New Roman" w:hAnsi="Times New Roman" w:cs="Times New Roman"/>
          <w:i/>
          <w:noProof/>
        </w:rPr>
        <w:t>Journal of Insurance Regulation</w:t>
      </w:r>
      <w:r w:rsidRPr="00360FF2">
        <w:rPr>
          <w:rFonts w:ascii="Times New Roman" w:hAnsi="Times New Roman" w:cs="Times New Roman"/>
          <w:noProof/>
        </w:rPr>
        <w:t xml:space="preserve">. </w:t>
      </w:r>
    </w:p>
    <w:p w14:paraId="0FDC3F0C" w14:textId="77777777" w:rsidR="00D44284" w:rsidRPr="00360FF2" w:rsidRDefault="00D44284" w:rsidP="00185D00">
      <w:pPr>
        <w:pStyle w:val="EndNoteBibliography"/>
        <w:ind w:left="480" w:hangingChars="200" w:hanging="480"/>
        <w:rPr>
          <w:rFonts w:ascii="Times New Roman" w:hAnsi="Times New Roman" w:cs="Times New Roman"/>
          <w:noProof/>
        </w:rPr>
      </w:pPr>
      <w:r w:rsidRPr="00360FF2">
        <w:rPr>
          <w:rFonts w:ascii="Times New Roman" w:hAnsi="Times New Roman" w:cs="Times New Roman"/>
          <w:noProof/>
        </w:rPr>
        <w:t xml:space="preserve">Erola, A., Agrafiotis, I., Nurse, J. R. C., Axon, L., Goldsmith, M., &amp; Creese, S. (2022). A system to calculate Cyber Value-at-Risk. </w:t>
      </w:r>
      <w:r w:rsidRPr="00360FF2">
        <w:rPr>
          <w:rFonts w:ascii="Times New Roman" w:hAnsi="Times New Roman" w:cs="Times New Roman"/>
          <w:i/>
          <w:noProof/>
        </w:rPr>
        <w:t>Computers &amp; Security</w:t>
      </w:r>
      <w:r w:rsidRPr="00360FF2">
        <w:rPr>
          <w:rFonts w:ascii="Times New Roman" w:hAnsi="Times New Roman" w:cs="Times New Roman"/>
          <w:noProof/>
        </w:rPr>
        <w:t>,</w:t>
      </w:r>
      <w:r w:rsidRPr="00360FF2">
        <w:rPr>
          <w:rFonts w:ascii="Times New Roman" w:hAnsi="Times New Roman" w:cs="Times New Roman"/>
          <w:i/>
          <w:noProof/>
        </w:rPr>
        <w:t xml:space="preserve"> 113</w:t>
      </w:r>
      <w:r w:rsidRPr="00360FF2">
        <w:rPr>
          <w:rFonts w:ascii="Times New Roman" w:hAnsi="Times New Roman" w:cs="Times New Roman"/>
          <w:noProof/>
        </w:rPr>
        <w:t xml:space="preserve">, 102545. </w:t>
      </w:r>
      <w:hyperlink r:id="rId17" w:history="1">
        <w:r w:rsidRPr="00360FF2">
          <w:rPr>
            <w:rStyle w:val="Hyperlink"/>
            <w:rFonts w:ascii="Times New Roman" w:hAnsi="Times New Roman" w:cs="Times New Roman"/>
            <w:noProof/>
          </w:rPr>
          <w:t>https://doi.org/https://doi.org/10.1016/j.cose.2021.102545</w:t>
        </w:r>
      </w:hyperlink>
      <w:r w:rsidRPr="00360FF2">
        <w:rPr>
          <w:rFonts w:ascii="Times New Roman" w:hAnsi="Times New Roman" w:cs="Times New Roman"/>
          <w:noProof/>
        </w:rPr>
        <w:t xml:space="preserve"> </w:t>
      </w:r>
    </w:p>
    <w:p w14:paraId="0F6B62D7" w14:textId="0F2CB670" w:rsidR="00D44284" w:rsidRPr="00360FF2" w:rsidRDefault="00D44284" w:rsidP="00185D00">
      <w:pPr>
        <w:pStyle w:val="EndNoteBibliography"/>
        <w:ind w:left="480" w:hangingChars="200" w:hanging="480"/>
        <w:rPr>
          <w:rFonts w:ascii="Times New Roman" w:hAnsi="Times New Roman" w:cs="Times New Roman"/>
          <w:noProof/>
        </w:rPr>
      </w:pPr>
      <w:r w:rsidRPr="00360FF2">
        <w:rPr>
          <w:rFonts w:ascii="Times New Roman" w:hAnsi="Times New Roman" w:cs="Times New Roman"/>
          <w:noProof/>
        </w:rPr>
        <w:t xml:space="preserve">Favre, L., &amp; Galeano, J.-A. (2002). Mean-modified value-at-risk optimization with hedge funds. </w:t>
      </w:r>
      <w:r w:rsidRPr="00360FF2">
        <w:rPr>
          <w:rFonts w:ascii="Times New Roman" w:hAnsi="Times New Roman" w:cs="Times New Roman"/>
          <w:i/>
          <w:noProof/>
        </w:rPr>
        <w:t>The journal of alternative investments</w:t>
      </w:r>
      <w:r w:rsidRPr="00360FF2">
        <w:rPr>
          <w:rFonts w:ascii="Times New Roman" w:hAnsi="Times New Roman" w:cs="Times New Roman"/>
          <w:noProof/>
        </w:rPr>
        <w:t>,</w:t>
      </w:r>
      <w:r w:rsidRPr="00360FF2">
        <w:rPr>
          <w:rFonts w:ascii="Times New Roman" w:hAnsi="Times New Roman" w:cs="Times New Roman"/>
          <w:i/>
          <w:noProof/>
        </w:rPr>
        <w:t xml:space="preserve"> 5</w:t>
      </w:r>
      <w:r w:rsidRPr="00360FF2">
        <w:rPr>
          <w:rFonts w:ascii="Times New Roman" w:hAnsi="Times New Roman" w:cs="Times New Roman"/>
          <w:noProof/>
        </w:rPr>
        <w:t xml:space="preserve">(2), 21-25. </w:t>
      </w:r>
    </w:p>
    <w:p w14:paraId="25BB7D6A" w14:textId="77777777" w:rsidR="00D44284" w:rsidRPr="00360FF2" w:rsidRDefault="00D44284" w:rsidP="00185D00">
      <w:pPr>
        <w:pStyle w:val="EndNoteBibliography"/>
        <w:ind w:left="480" w:hangingChars="200" w:hanging="480"/>
        <w:rPr>
          <w:rFonts w:ascii="Times New Roman" w:hAnsi="Times New Roman" w:cs="Times New Roman"/>
          <w:noProof/>
        </w:rPr>
      </w:pPr>
      <w:r w:rsidRPr="00360FF2">
        <w:rPr>
          <w:rFonts w:ascii="Times New Roman" w:hAnsi="Times New Roman" w:cs="Times New Roman"/>
          <w:noProof/>
        </w:rPr>
        <w:t xml:space="preserve">Jhonpita, P., Sinthupinyo, S., &amp; Chaiyawat, T. (2012). Ordinal classification method for the evaluation of Thai non-life insurance companies. </w:t>
      </w:r>
      <w:r w:rsidRPr="00360FF2">
        <w:rPr>
          <w:rFonts w:ascii="Times New Roman" w:hAnsi="Times New Roman" w:cs="Times New Roman"/>
          <w:i/>
          <w:noProof/>
        </w:rPr>
        <w:t>arXiv preprint arXiv:1203.6424</w:t>
      </w:r>
      <w:r w:rsidRPr="00360FF2">
        <w:rPr>
          <w:rFonts w:ascii="Times New Roman" w:hAnsi="Times New Roman" w:cs="Times New Roman"/>
          <w:noProof/>
        </w:rPr>
        <w:t xml:space="preserve">. </w:t>
      </w:r>
    </w:p>
    <w:p w14:paraId="24C724E6" w14:textId="77777777" w:rsidR="00D44284" w:rsidRPr="00360FF2" w:rsidRDefault="00D44284" w:rsidP="00185D00">
      <w:pPr>
        <w:pStyle w:val="EndNoteBibliography"/>
        <w:ind w:left="480" w:hangingChars="200" w:hanging="480"/>
        <w:rPr>
          <w:rFonts w:ascii="Times New Roman" w:hAnsi="Times New Roman" w:cs="Times New Roman"/>
          <w:noProof/>
        </w:rPr>
      </w:pPr>
      <w:r w:rsidRPr="00360FF2">
        <w:rPr>
          <w:rFonts w:ascii="Times New Roman" w:hAnsi="Times New Roman" w:cs="Times New Roman"/>
          <w:noProof/>
        </w:rPr>
        <w:t xml:space="preserve">Kozmenko, O., &amp; Oliynyk, V. (2015). Statistical model of risk assessment of insurance companys functioning. </w:t>
      </w:r>
      <w:r w:rsidRPr="00360FF2">
        <w:rPr>
          <w:rFonts w:ascii="Times New Roman" w:hAnsi="Times New Roman" w:cs="Times New Roman"/>
          <w:i/>
          <w:noProof/>
        </w:rPr>
        <w:t>Investment Management and Financial Innovations</w:t>
      </w:r>
      <w:r w:rsidRPr="00360FF2">
        <w:rPr>
          <w:rFonts w:ascii="Times New Roman" w:hAnsi="Times New Roman" w:cs="Times New Roman"/>
          <w:noProof/>
        </w:rPr>
        <w:t xml:space="preserve">(12, Iss. 2 (contin.)), 189-194. </w:t>
      </w:r>
    </w:p>
    <w:p w14:paraId="06DF59C9" w14:textId="77777777" w:rsidR="00D44284" w:rsidRDefault="00D44284" w:rsidP="00DE6038">
      <w:pPr>
        <w:ind w:firstLineChars="0" w:firstLine="0"/>
      </w:pPr>
    </w:p>
    <w:sectPr w:rsidR="00D44284" w:rsidSect="00BD0FAC">
      <w:headerReference w:type="even" r:id="rId18"/>
      <w:headerReference w:type="default" r:id="rId19"/>
      <w:footerReference w:type="even" r:id="rId20"/>
      <w:footerReference w:type="default" r:id="rId21"/>
      <w:headerReference w:type="first" r:id="rId22"/>
      <w:footerReference w:type="first" r:id="rId23"/>
      <w:pgSz w:w="11906" w:h="16838"/>
      <w:pgMar w:top="1440" w:right="1800" w:bottom="1440" w:left="1800" w:header="851" w:footer="99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7A9297" w14:textId="77777777" w:rsidR="009D7FD4" w:rsidRDefault="009D7FD4" w:rsidP="000E451A">
      <w:pPr>
        <w:ind w:firstLine="480"/>
      </w:pPr>
      <w:r>
        <w:separator/>
      </w:r>
    </w:p>
  </w:endnote>
  <w:endnote w:type="continuationSeparator" w:id="0">
    <w:p w14:paraId="1FB3B2C9" w14:textId="77777777" w:rsidR="009D7FD4" w:rsidRDefault="009D7FD4" w:rsidP="000E451A">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Times New Roman (本文)">
    <w:altName w:val="新細明體"/>
    <w:charset w:val="88"/>
    <w:family w:val="roman"/>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Times New Roman (本文 CS 字型)">
    <w:altName w:val="新細明體"/>
    <w:panose1 w:val="00000000000000000000"/>
    <w:charset w:val="88"/>
    <w:family w:val="roman"/>
    <w:notTrueType/>
    <w:pitch w:val="default"/>
  </w:font>
  <w:font w:name="細明體">
    <w:altName w:val="MingLiU"/>
    <w:panose1 w:val="02020509000000000000"/>
    <w:charset w:val="88"/>
    <w:family w:val="modern"/>
    <w:pitch w:val="fixed"/>
    <w:sig w:usb0="A00002FF" w:usb1="28CFFCFA" w:usb2="00000016" w:usb3="00000000" w:csb0="00100001" w:csb1="00000000"/>
  </w:font>
  <w:font w:name="Apple Color Emoji">
    <w:altName w:val="Calibri"/>
    <w:charset w:val="00"/>
    <w:family w:val="auto"/>
    <w:pitch w:val="variable"/>
    <w:sig w:usb0="00000003" w:usb1="18000000" w:usb2="14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BC56DB" w14:textId="77777777" w:rsidR="0039141B" w:rsidRDefault="0039141B">
    <w:pPr>
      <w:pStyle w:val="Footer"/>
      <w:ind w:firstLine="40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30847301"/>
      <w:docPartObj>
        <w:docPartGallery w:val="Page Numbers (Bottom of Page)"/>
        <w:docPartUnique/>
      </w:docPartObj>
    </w:sdtPr>
    <w:sdtEndPr>
      <w:rPr>
        <w:noProof/>
      </w:rPr>
    </w:sdtEndPr>
    <w:sdtContent>
      <w:p w14:paraId="137E5567" w14:textId="71462272" w:rsidR="000D2140" w:rsidRDefault="000D2140">
        <w:pPr>
          <w:pStyle w:val="Footer"/>
          <w:ind w:firstLine="400"/>
          <w:jc w:val="center"/>
        </w:pPr>
        <w:r>
          <w:fldChar w:fldCharType="begin"/>
        </w:r>
        <w:r>
          <w:instrText xml:space="preserve"> PAGE   \* MERGEFORMAT </w:instrText>
        </w:r>
        <w:r>
          <w:fldChar w:fldCharType="separate"/>
        </w:r>
        <w:r>
          <w:rPr>
            <w:noProof/>
          </w:rPr>
          <w:t>2</w:t>
        </w:r>
        <w:r>
          <w:rPr>
            <w:noProof/>
          </w:rPr>
          <w:fldChar w:fldCharType="end"/>
        </w:r>
      </w:p>
    </w:sdtContent>
  </w:sdt>
  <w:p w14:paraId="292B745B" w14:textId="557AA1FD" w:rsidR="0039141B" w:rsidRPr="000D2140" w:rsidRDefault="0039141B" w:rsidP="000D2140">
    <w:pPr>
      <w:pStyle w:val="Footer"/>
      <w:ind w:firstLine="40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0079989"/>
      <w:docPartObj>
        <w:docPartGallery w:val="Page Numbers (Bottom of Page)"/>
        <w:docPartUnique/>
      </w:docPartObj>
    </w:sdtPr>
    <w:sdtEndPr>
      <w:rPr>
        <w:noProof/>
      </w:rPr>
    </w:sdtEndPr>
    <w:sdtContent>
      <w:p w14:paraId="0FC38664" w14:textId="5EBC104E" w:rsidR="000D2140" w:rsidRDefault="000D2140">
        <w:pPr>
          <w:pStyle w:val="Footer"/>
          <w:ind w:firstLine="400"/>
          <w:jc w:val="center"/>
        </w:pPr>
        <w:r>
          <w:fldChar w:fldCharType="begin"/>
        </w:r>
        <w:r>
          <w:instrText xml:space="preserve"> PAGE   \* MERGEFORMAT </w:instrText>
        </w:r>
        <w:r>
          <w:fldChar w:fldCharType="separate"/>
        </w:r>
        <w:r>
          <w:rPr>
            <w:noProof/>
          </w:rPr>
          <w:t>2</w:t>
        </w:r>
        <w:r>
          <w:rPr>
            <w:noProof/>
          </w:rPr>
          <w:fldChar w:fldCharType="end"/>
        </w:r>
      </w:p>
    </w:sdtContent>
  </w:sdt>
  <w:p w14:paraId="35154EEC" w14:textId="77777777" w:rsidR="000D2140" w:rsidRDefault="000D2140" w:rsidP="000D2140">
    <w:pPr>
      <w:pStyle w:val="E-mailSignature"/>
      <w:snapToGrid w:val="0"/>
      <w:rPr>
        <w:szCs w:val="24"/>
      </w:rPr>
    </w:pPr>
    <w:r>
      <w:rPr>
        <w:szCs w:val="24"/>
      </w:rPr>
      <w:t>Corresponding author: Professor of Risk Management and Insurance</w:t>
    </w:r>
  </w:p>
  <w:p w14:paraId="0D817BBE" w14:textId="77777777" w:rsidR="000D2140" w:rsidRDefault="000D2140" w:rsidP="000D2140">
    <w:pPr>
      <w:pStyle w:val="E-mailSignature"/>
      <w:snapToGrid w:val="0"/>
      <w:rPr>
        <w:szCs w:val="24"/>
      </w:rPr>
    </w:pPr>
    <w:r>
      <w:rPr>
        <w:szCs w:val="24"/>
      </w:rPr>
      <w:t>National Kaohsiung University of Science and Technology</w:t>
    </w:r>
  </w:p>
  <w:p w14:paraId="3B74F0DB" w14:textId="77777777" w:rsidR="000D2140" w:rsidRDefault="000D2140" w:rsidP="000D2140">
    <w:pPr>
      <w:pStyle w:val="E-mailSignature"/>
      <w:snapToGrid w:val="0"/>
      <w:ind w:firstLine="480"/>
      <w:rPr>
        <w:szCs w:val="24"/>
      </w:rPr>
    </w:pPr>
    <w:proofErr w:type="gramStart"/>
    <w:r>
      <w:rPr>
        <w:szCs w:val="24"/>
      </w:rPr>
      <w:t>Email:suender@ccms.nkfust.edu.tw</w:t>
    </w:r>
    <w:proofErr w:type="gramEnd"/>
  </w:p>
  <w:p w14:paraId="713A500D" w14:textId="77777777" w:rsidR="0039141B" w:rsidRPr="000D2140" w:rsidRDefault="0039141B">
    <w:pPr>
      <w:pStyle w:val="Footer"/>
      <w:ind w:firstLine="40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51057F" w14:textId="77777777" w:rsidR="009D7FD4" w:rsidRDefault="009D7FD4" w:rsidP="000E451A">
      <w:pPr>
        <w:ind w:firstLine="480"/>
      </w:pPr>
      <w:r>
        <w:separator/>
      </w:r>
    </w:p>
  </w:footnote>
  <w:footnote w:type="continuationSeparator" w:id="0">
    <w:p w14:paraId="51EDED51" w14:textId="77777777" w:rsidR="009D7FD4" w:rsidRDefault="009D7FD4" w:rsidP="000E451A">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9C57AB" w14:textId="77777777" w:rsidR="0039141B" w:rsidRDefault="0039141B">
    <w:pPr>
      <w:pStyle w:val="Header"/>
      <w:ind w:firstLine="4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228745" w14:textId="77777777" w:rsidR="0039141B" w:rsidRDefault="0039141B">
    <w:pPr>
      <w:pStyle w:val="Header"/>
      <w:ind w:firstLine="4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84797" w14:textId="77777777" w:rsidR="0039141B" w:rsidRDefault="0039141B">
    <w:pPr>
      <w:pStyle w:val="Header"/>
      <w:ind w:firstLine="4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63793"/>
    <w:multiLevelType w:val="hybridMultilevel"/>
    <w:tmpl w:val="12EC390C"/>
    <w:lvl w:ilvl="0" w:tplc="327C433E">
      <w:start w:val="1"/>
      <w:numFmt w:val="taiwaneseCountingThousand"/>
      <w:pStyle w:val="a"/>
      <w:lvlText w:val="(%1)"/>
      <w:lvlJc w:val="left"/>
      <w:pPr>
        <w:ind w:left="480" w:hanging="480"/>
      </w:pPr>
      <w:rPr>
        <w:rFonts w:ascii="Times New Roman" w:hAnsi="Times New Roman" w:hint="eastAsia"/>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22DC1BF4"/>
    <w:multiLevelType w:val="hybridMultilevel"/>
    <w:tmpl w:val="D0EED12E"/>
    <w:lvl w:ilvl="0" w:tplc="47D66518">
      <w:start w:val="1"/>
      <w:numFmt w:val="taiwaneseCountingThousand"/>
      <w:pStyle w:val="3"/>
      <w:lvlText w:val="%1."/>
      <w:lvlJc w:val="left"/>
      <w:pPr>
        <w:ind w:left="480" w:hanging="480"/>
      </w:pPr>
      <w:rPr>
        <w:rFonts w:hint="eastAsia"/>
      </w:rPr>
    </w:lvl>
    <w:lvl w:ilvl="1" w:tplc="AACE45FA">
      <w:start w:val="1"/>
      <w:numFmt w:val="decimal"/>
      <w:lvlText w:val="%2."/>
      <w:lvlJc w:val="left"/>
      <w:pPr>
        <w:ind w:left="76" w:hanging="360"/>
      </w:pPr>
      <w:rPr>
        <w:rFonts w:hint="default"/>
      </w:rPr>
    </w:lvl>
    <w:lvl w:ilvl="2" w:tplc="0409001B" w:tentative="1">
      <w:start w:val="1"/>
      <w:numFmt w:val="lowerRoman"/>
      <w:lvlText w:val="%3."/>
      <w:lvlJc w:val="right"/>
      <w:pPr>
        <w:ind w:left="676" w:hanging="480"/>
      </w:pPr>
    </w:lvl>
    <w:lvl w:ilvl="3" w:tplc="0409000F" w:tentative="1">
      <w:start w:val="1"/>
      <w:numFmt w:val="decimal"/>
      <w:lvlText w:val="%4."/>
      <w:lvlJc w:val="left"/>
      <w:pPr>
        <w:ind w:left="1156" w:hanging="480"/>
      </w:pPr>
    </w:lvl>
    <w:lvl w:ilvl="4" w:tplc="04090019" w:tentative="1">
      <w:start w:val="1"/>
      <w:numFmt w:val="ideographTraditional"/>
      <w:lvlText w:val="%5、"/>
      <w:lvlJc w:val="left"/>
      <w:pPr>
        <w:ind w:left="1636" w:hanging="480"/>
      </w:pPr>
    </w:lvl>
    <w:lvl w:ilvl="5" w:tplc="0409001B" w:tentative="1">
      <w:start w:val="1"/>
      <w:numFmt w:val="lowerRoman"/>
      <w:lvlText w:val="%6."/>
      <w:lvlJc w:val="right"/>
      <w:pPr>
        <w:ind w:left="2116" w:hanging="480"/>
      </w:pPr>
    </w:lvl>
    <w:lvl w:ilvl="6" w:tplc="0409000F" w:tentative="1">
      <w:start w:val="1"/>
      <w:numFmt w:val="decimal"/>
      <w:lvlText w:val="%7."/>
      <w:lvlJc w:val="left"/>
      <w:pPr>
        <w:ind w:left="2596" w:hanging="480"/>
      </w:pPr>
    </w:lvl>
    <w:lvl w:ilvl="7" w:tplc="04090019" w:tentative="1">
      <w:start w:val="1"/>
      <w:numFmt w:val="ideographTraditional"/>
      <w:lvlText w:val="%8、"/>
      <w:lvlJc w:val="left"/>
      <w:pPr>
        <w:ind w:left="3076" w:hanging="480"/>
      </w:pPr>
    </w:lvl>
    <w:lvl w:ilvl="8" w:tplc="0409001B" w:tentative="1">
      <w:start w:val="1"/>
      <w:numFmt w:val="lowerRoman"/>
      <w:lvlText w:val="%9."/>
      <w:lvlJc w:val="right"/>
      <w:pPr>
        <w:ind w:left="3556" w:hanging="480"/>
      </w:pPr>
    </w:lvl>
  </w:abstractNum>
  <w:abstractNum w:abstractNumId="2" w15:restartNumberingAfterBreak="0">
    <w:nsid w:val="24050738"/>
    <w:multiLevelType w:val="hybridMultilevel"/>
    <w:tmpl w:val="7E146D0E"/>
    <w:lvl w:ilvl="0" w:tplc="F59E4C16">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3" w15:restartNumberingAfterBreak="0">
    <w:nsid w:val="3D7C7DF8"/>
    <w:multiLevelType w:val="hybridMultilevel"/>
    <w:tmpl w:val="0DF61BCA"/>
    <w:lvl w:ilvl="0" w:tplc="11509A5A">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4" w15:restartNumberingAfterBreak="0">
    <w:nsid w:val="4E985724"/>
    <w:multiLevelType w:val="hybridMultilevel"/>
    <w:tmpl w:val="7236158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5F1A400B"/>
    <w:multiLevelType w:val="hybridMultilevel"/>
    <w:tmpl w:val="5D18BCD0"/>
    <w:lvl w:ilvl="0" w:tplc="144AB4C2">
      <w:start w:val="1"/>
      <w:numFmt w:val="decimal"/>
      <w:lvlText w:val="(%1)"/>
      <w:lvlJc w:val="left"/>
      <w:pPr>
        <w:ind w:left="960" w:hanging="480"/>
      </w:pPr>
      <w:rPr>
        <w:rFonts w:ascii="Times New Roman" w:eastAsia="標楷體" w:hAnsi="Times New Roman" w:cs="Times New Roman (本文)"/>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6" w15:restartNumberingAfterBreak="0">
    <w:nsid w:val="64D218E4"/>
    <w:multiLevelType w:val="hybridMultilevel"/>
    <w:tmpl w:val="3F5ADFF4"/>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698E2E69"/>
    <w:multiLevelType w:val="hybridMultilevel"/>
    <w:tmpl w:val="8B5481BE"/>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8" w15:restartNumberingAfterBreak="0">
    <w:nsid w:val="70117BFC"/>
    <w:multiLevelType w:val="hybridMultilevel"/>
    <w:tmpl w:val="0DDE72AA"/>
    <w:lvl w:ilvl="0" w:tplc="ABDEE1B2">
      <w:start w:val="1"/>
      <w:numFmt w:val="decimal"/>
      <w:lvlText w:val="%1."/>
      <w:lvlJc w:val="left"/>
      <w:pPr>
        <w:ind w:left="1320" w:hanging="360"/>
      </w:pPr>
      <w:rPr>
        <w:rFonts w:hint="default"/>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num w:numId="1" w16cid:durableId="1103037491">
    <w:abstractNumId w:val="7"/>
  </w:num>
  <w:num w:numId="2" w16cid:durableId="1191142213">
    <w:abstractNumId w:val="5"/>
  </w:num>
  <w:num w:numId="3" w16cid:durableId="1337222445">
    <w:abstractNumId w:val="4"/>
  </w:num>
  <w:num w:numId="4" w16cid:durableId="569311734">
    <w:abstractNumId w:val="6"/>
  </w:num>
  <w:num w:numId="5" w16cid:durableId="1249969745">
    <w:abstractNumId w:val="1"/>
  </w:num>
  <w:num w:numId="6" w16cid:durableId="1606772359">
    <w:abstractNumId w:val="1"/>
    <w:lvlOverride w:ilvl="0">
      <w:startOverride w:val="1"/>
    </w:lvlOverride>
  </w:num>
  <w:num w:numId="7" w16cid:durableId="1822575646">
    <w:abstractNumId w:val="0"/>
  </w:num>
  <w:num w:numId="8" w16cid:durableId="2006593440">
    <w:abstractNumId w:val="8"/>
  </w:num>
  <w:num w:numId="9" w16cid:durableId="234319272">
    <w:abstractNumId w:val="3"/>
  </w:num>
  <w:num w:numId="10" w16cid:durableId="3570036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2D99"/>
    <w:rsid w:val="0003583E"/>
    <w:rsid w:val="00055BE3"/>
    <w:rsid w:val="00060F3C"/>
    <w:rsid w:val="00090271"/>
    <w:rsid w:val="000B17D7"/>
    <w:rsid w:val="000D02C5"/>
    <w:rsid w:val="000D2140"/>
    <w:rsid w:val="000E451A"/>
    <w:rsid w:val="001443CB"/>
    <w:rsid w:val="00155451"/>
    <w:rsid w:val="00181CC2"/>
    <w:rsid w:val="00185D00"/>
    <w:rsid w:val="0019451E"/>
    <w:rsid w:val="001B12D5"/>
    <w:rsid w:val="001D363C"/>
    <w:rsid w:val="001E0ABA"/>
    <w:rsid w:val="002317B5"/>
    <w:rsid w:val="00233AFC"/>
    <w:rsid w:val="00266CB6"/>
    <w:rsid w:val="00290471"/>
    <w:rsid w:val="002A0793"/>
    <w:rsid w:val="002B1029"/>
    <w:rsid w:val="002B2458"/>
    <w:rsid w:val="002B7CE8"/>
    <w:rsid w:val="00302D99"/>
    <w:rsid w:val="00314952"/>
    <w:rsid w:val="00326501"/>
    <w:rsid w:val="0039141B"/>
    <w:rsid w:val="003B03EC"/>
    <w:rsid w:val="003C0A2A"/>
    <w:rsid w:val="00404EBC"/>
    <w:rsid w:val="00407713"/>
    <w:rsid w:val="004625C9"/>
    <w:rsid w:val="00474EF8"/>
    <w:rsid w:val="00475FC5"/>
    <w:rsid w:val="0051618B"/>
    <w:rsid w:val="0052127E"/>
    <w:rsid w:val="0053235D"/>
    <w:rsid w:val="005376CF"/>
    <w:rsid w:val="00570012"/>
    <w:rsid w:val="005B68C5"/>
    <w:rsid w:val="005C491C"/>
    <w:rsid w:val="00612B00"/>
    <w:rsid w:val="00614562"/>
    <w:rsid w:val="00627C50"/>
    <w:rsid w:val="0064034F"/>
    <w:rsid w:val="0067735A"/>
    <w:rsid w:val="006E786B"/>
    <w:rsid w:val="0071001D"/>
    <w:rsid w:val="00733180"/>
    <w:rsid w:val="00751507"/>
    <w:rsid w:val="00760C28"/>
    <w:rsid w:val="007A5BC2"/>
    <w:rsid w:val="007B4FB7"/>
    <w:rsid w:val="007B5E1D"/>
    <w:rsid w:val="007F770D"/>
    <w:rsid w:val="008053F5"/>
    <w:rsid w:val="00817DCB"/>
    <w:rsid w:val="008554A7"/>
    <w:rsid w:val="00870AC2"/>
    <w:rsid w:val="00886F32"/>
    <w:rsid w:val="00887A62"/>
    <w:rsid w:val="008D299F"/>
    <w:rsid w:val="00930578"/>
    <w:rsid w:val="0096629E"/>
    <w:rsid w:val="009C086F"/>
    <w:rsid w:val="009D7FD4"/>
    <w:rsid w:val="009F53D7"/>
    <w:rsid w:val="00AB3BB4"/>
    <w:rsid w:val="00AD414A"/>
    <w:rsid w:val="00BD0FAC"/>
    <w:rsid w:val="00C41122"/>
    <w:rsid w:val="00CC679A"/>
    <w:rsid w:val="00D02FEB"/>
    <w:rsid w:val="00D22BB0"/>
    <w:rsid w:val="00D34A6B"/>
    <w:rsid w:val="00D4192C"/>
    <w:rsid w:val="00D44284"/>
    <w:rsid w:val="00D70FCC"/>
    <w:rsid w:val="00DE6038"/>
    <w:rsid w:val="00E2210C"/>
    <w:rsid w:val="00E27997"/>
    <w:rsid w:val="00E632CD"/>
    <w:rsid w:val="00E65D55"/>
    <w:rsid w:val="00E83149"/>
    <w:rsid w:val="00EF44AD"/>
    <w:rsid w:val="00F02D45"/>
    <w:rsid w:val="00F27561"/>
    <w:rsid w:val="00F47133"/>
    <w:rsid w:val="00F56061"/>
    <w:rsid w:val="00F84202"/>
    <w:rsid w:val="00FF4B3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0CA21"/>
  <w15:chartTrackingRefBased/>
  <w15:docId w15:val="{DAE8BF71-8039-4FC7-AE2C-7EF5F91FA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6038"/>
    <w:pPr>
      <w:widowControl w:val="0"/>
      <w:ind w:firstLineChars="200" w:firstLine="200"/>
      <w:jc w:val="both"/>
    </w:pPr>
    <w:rPr>
      <w:rFonts w:ascii="Times New Roman" w:eastAsia="標楷體" w:hAnsi="Times New Roman"/>
    </w:rPr>
  </w:style>
  <w:style w:type="paragraph" w:styleId="Heading1">
    <w:name w:val="heading 1"/>
    <w:basedOn w:val="Normal"/>
    <w:next w:val="Normal"/>
    <w:link w:val="Heading1Char"/>
    <w:uiPriority w:val="9"/>
    <w:qFormat/>
    <w:rsid w:val="00DE6038"/>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Heading2">
    <w:name w:val="heading 2"/>
    <w:basedOn w:val="Normal"/>
    <w:next w:val="Normal"/>
    <w:link w:val="Heading2Char"/>
    <w:uiPriority w:val="9"/>
    <w:unhideWhenUsed/>
    <w:qFormat/>
    <w:rsid w:val="00DE6038"/>
    <w:pPr>
      <w:keepNext/>
      <w:spacing w:line="720" w:lineRule="auto"/>
      <w:outlineLvl w:val="1"/>
    </w:pPr>
    <w:rPr>
      <w:rFonts w:asciiTheme="majorHAnsi" w:eastAsiaTheme="majorEastAsia" w:hAnsiTheme="majorHAnsi" w:cstheme="majorBidi"/>
      <w:b/>
      <w:bCs/>
      <w:sz w:val="48"/>
      <w:szCs w:val="48"/>
    </w:rPr>
  </w:style>
  <w:style w:type="paragraph" w:styleId="Heading3">
    <w:name w:val="heading 3"/>
    <w:basedOn w:val="Normal"/>
    <w:next w:val="Normal"/>
    <w:link w:val="Heading3Char"/>
    <w:uiPriority w:val="9"/>
    <w:unhideWhenUsed/>
    <w:qFormat/>
    <w:rsid w:val="008554A7"/>
    <w:pPr>
      <w:keepNext/>
      <w:spacing w:line="720" w:lineRule="auto"/>
      <w:outlineLvl w:val="2"/>
    </w:pPr>
    <w:rPr>
      <w:rFonts w:asciiTheme="majorHAnsi" w:eastAsiaTheme="majorEastAsia" w:hAnsiTheme="majorHAnsi" w:cstheme="majorBidi"/>
      <w:b/>
      <w:bCs/>
      <w:sz w:val="36"/>
      <w:szCs w:val="36"/>
    </w:rPr>
  </w:style>
  <w:style w:type="paragraph" w:styleId="Heading4">
    <w:name w:val="heading 4"/>
    <w:basedOn w:val="Normal"/>
    <w:next w:val="Normal"/>
    <w:link w:val="Heading4Char"/>
    <w:uiPriority w:val="9"/>
    <w:unhideWhenUsed/>
    <w:qFormat/>
    <w:rsid w:val="00DE6038"/>
    <w:pPr>
      <w:keepNext/>
      <w:spacing w:line="720" w:lineRule="auto"/>
      <w:outlineLvl w:val="3"/>
    </w:pPr>
    <w:rPr>
      <w:rFonts w:asciiTheme="majorHAnsi" w:eastAsiaTheme="majorEastAsia" w:hAnsiTheme="majorHAnsi" w:cstheme="majorBidi"/>
      <w:sz w:val="36"/>
      <w:szCs w:val="36"/>
    </w:rPr>
  </w:style>
  <w:style w:type="paragraph" w:styleId="Heading5">
    <w:name w:val="heading 5"/>
    <w:basedOn w:val="Normal"/>
    <w:next w:val="Normal"/>
    <w:link w:val="Heading5Char"/>
    <w:uiPriority w:val="9"/>
    <w:unhideWhenUsed/>
    <w:qFormat/>
    <w:rsid w:val="00DE6038"/>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論文內容"/>
    <w:basedOn w:val="Normal"/>
    <w:link w:val="a1"/>
    <w:qFormat/>
    <w:rsid w:val="00EF44AD"/>
    <w:pPr>
      <w:spacing w:before="120" w:after="120" w:line="440" w:lineRule="exact"/>
      <w:ind w:firstLine="480"/>
    </w:pPr>
    <w:rPr>
      <w:rFonts w:cs="Times New Roman (本文)"/>
    </w:rPr>
  </w:style>
  <w:style w:type="character" w:customStyle="1" w:styleId="a1">
    <w:name w:val="論文內容 字元"/>
    <w:basedOn w:val="DefaultParagraphFont"/>
    <w:link w:val="a0"/>
    <w:rsid w:val="00EF44AD"/>
    <w:rPr>
      <w:rFonts w:ascii="Times New Roman" w:hAnsi="Times New Roman" w:cs="Times New Roman (本文)"/>
    </w:rPr>
  </w:style>
  <w:style w:type="table" w:styleId="TableGrid">
    <w:name w:val="Table Grid"/>
    <w:basedOn w:val="TableNormal"/>
    <w:uiPriority w:val="39"/>
    <w:rsid w:val="00475FC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標號(表)"/>
    <w:basedOn w:val="Caption"/>
    <w:link w:val="a3"/>
    <w:qFormat/>
    <w:rsid w:val="00475FC5"/>
    <w:pPr>
      <w:widowControl/>
      <w:jc w:val="center"/>
    </w:pPr>
    <w:rPr>
      <w:rFonts w:cstheme="minorHAnsi"/>
      <w:kern w:val="0"/>
      <w:sz w:val="24"/>
      <w:szCs w:val="24"/>
    </w:rPr>
  </w:style>
  <w:style w:type="character" w:customStyle="1" w:styleId="a3">
    <w:name w:val="標號(表) 字元"/>
    <w:basedOn w:val="DefaultParagraphFont"/>
    <w:link w:val="a2"/>
    <w:rsid w:val="00475FC5"/>
    <w:rPr>
      <w:rFonts w:cstheme="minorHAnsi"/>
      <w:kern w:val="0"/>
      <w:szCs w:val="24"/>
    </w:rPr>
  </w:style>
  <w:style w:type="paragraph" w:styleId="Caption">
    <w:name w:val="caption"/>
    <w:basedOn w:val="Normal"/>
    <w:next w:val="Normal"/>
    <w:uiPriority w:val="35"/>
    <w:semiHidden/>
    <w:unhideWhenUsed/>
    <w:qFormat/>
    <w:rsid w:val="00475FC5"/>
    <w:rPr>
      <w:sz w:val="20"/>
      <w:szCs w:val="20"/>
    </w:rPr>
  </w:style>
  <w:style w:type="paragraph" w:styleId="ListParagraph">
    <w:name w:val="List Paragraph"/>
    <w:basedOn w:val="Normal"/>
    <w:link w:val="ListParagraphChar"/>
    <w:uiPriority w:val="34"/>
    <w:qFormat/>
    <w:rsid w:val="00817DCB"/>
    <w:pPr>
      <w:ind w:leftChars="200" w:left="480"/>
    </w:pPr>
    <w:rPr>
      <w:rFonts w:cs="Times New Roman (本文 CS 字型)"/>
    </w:rPr>
  </w:style>
  <w:style w:type="character" w:customStyle="1" w:styleId="ListParagraphChar">
    <w:name w:val="List Paragraph Char"/>
    <w:basedOn w:val="DefaultParagraphFont"/>
    <w:link w:val="ListParagraph"/>
    <w:uiPriority w:val="34"/>
    <w:rsid w:val="00817DCB"/>
    <w:rPr>
      <w:rFonts w:cs="Times New Roman (本文 CS 字型)"/>
    </w:rPr>
  </w:style>
  <w:style w:type="paragraph" w:customStyle="1" w:styleId="3">
    <w:name w:val="標題3"/>
    <w:basedOn w:val="a0"/>
    <w:next w:val="Normal"/>
    <w:link w:val="30"/>
    <w:qFormat/>
    <w:rsid w:val="00817DCB"/>
    <w:pPr>
      <w:numPr>
        <w:numId w:val="5"/>
      </w:numPr>
      <w:ind w:left="0" w:firstLineChars="0" w:firstLine="0"/>
      <w:outlineLvl w:val="2"/>
    </w:pPr>
    <w:rPr>
      <w:sz w:val="28"/>
    </w:rPr>
  </w:style>
  <w:style w:type="character" w:customStyle="1" w:styleId="30">
    <w:name w:val="標題3 字元"/>
    <w:basedOn w:val="a1"/>
    <w:link w:val="3"/>
    <w:rsid w:val="00817DCB"/>
    <w:rPr>
      <w:rFonts w:ascii="Times New Roman" w:hAnsi="Times New Roman" w:cs="Times New Roman (本文)"/>
      <w:sz w:val="28"/>
    </w:rPr>
  </w:style>
  <w:style w:type="paragraph" w:customStyle="1" w:styleId="a">
    <w:name w:val="小標題"/>
    <w:basedOn w:val="Heading3"/>
    <w:link w:val="a4"/>
    <w:qFormat/>
    <w:rsid w:val="008554A7"/>
    <w:pPr>
      <w:numPr>
        <w:numId w:val="7"/>
      </w:numPr>
      <w:spacing w:before="120" w:after="120" w:line="440" w:lineRule="exact"/>
      <w:ind w:leftChars="100" w:left="960" w:rightChars="100" w:right="100"/>
      <w:outlineLvl w:val="9"/>
    </w:pPr>
    <w:rPr>
      <w:rFonts w:ascii="Times New Roman" w:hAnsi="Times New Roman"/>
      <w:b w:val="0"/>
      <w:sz w:val="24"/>
      <w:szCs w:val="28"/>
    </w:rPr>
  </w:style>
  <w:style w:type="character" w:customStyle="1" w:styleId="a4">
    <w:name w:val="小標題 字元"/>
    <w:basedOn w:val="a1"/>
    <w:link w:val="a"/>
    <w:rsid w:val="008554A7"/>
    <w:rPr>
      <w:rFonts w:ascii="Times New Roman" w:eastAsiaTheme="majorEastAsia" w:hAnsi="Times New Roman" w:cstheme="majorBidi"/>
      <w:bCs/>
      <w:szCs w:val="28"/>
    </w:rPr>
  </w:style>
  <w:style w:type="paragraph" w:customStyle="1" w:styleId="a5">
    <w:name w:val="公式標號"/>
    <w:basedOn w:val="a0"/>
    <w:qFormat/>
    <w:rsid w:val="008554A7"/>
    <w:pPr>
      <w:tabs>
        <w:tab w:val="right" w:pos="8640"/>
      </w:tabs>
    </w:pPr>
    <w:rPr>
      <w:rFonts w:eastAsia="細明體" w:cs="新細明體"/>
      <w:szCs w:val="24"/>
    </w:rPr>
  </w:style>
  <w:style w:type="character" w:customStyle="1" w:styleId="Heading3Char">
    <w:name w:val="Heading 3 Char"/>
    <w:basedOn w:val="DefaultParagraphFont"/>
    <w:link w:val="Heading3"/>
    <w:uiPriority w:val="9"/>
    <w:rsid w:val="008554A7"/>
    <w:rPr>
      <w:rFonts w:asciiTheme="majorHAnsi" w:eastAsiaTheme="majorEastAsia" w:hAnsiTheme="majorHAnsi" w:cstheme="majorBidi"/>
      <w:b/>
      <w:bCs/>
      <w:sz w:val="36"/>
      <w:szCs w:val="36"/>
    </w:rPr>
  </w:style>
  <w:style w:type="paragraph" w:customStyle="1" w:styleId="a6">
    <w:name w:val="標號(圖)"/>
    <w:basedOn w:val="Caption"/>
    <w:link w:val="a7"/>
    <w:qFormat/>
    <w:rsid w:val="00474EF8"/>
    <w:pPr>
      <w:widowControl/>
      <w:jc w:val="center"/>
    </w:pPr>
    <w:rPr>
      <w:rFonts w:cstheme="minorHAnsi"/>
      <w:kern w:val="0"/>
      <w:sz w:val="24"/>
      <w:szCs w:val="24"/>
    </w:rPr>
  </w:style>
  <w:style w:type="character" w:customStyle="1" w:styleId="a7">
    <w:name w:val="標號(圖) 字元"/>
    <w:basedOn w:val="DefaultParagraphFont"/>
    <w:link w:val="a6"/>
    <w:rsid w:val="00474EF8"/>
    <w:rPr>
      <w:rFonts w:cstheme="minorHAnsi"/>
      <w:kern w:val="0"/>
      <w:szCs w:val="24"/>
    </w:rPr>
  </w:style>
  <w:style w:type="table" w:customStyle="1" w:styleId="1">
    <w:name w:val="表格格線1"/>
    <w:basedOn w:val="TableNormal"/>
    <w:next w:val="TableGrid"/>
    <w:uiPriority w:val="59"/>
    <w:rsid w:val="00474E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44284"/>
    <w:rPr>
      <w:color w:val="0563C1" w:themeColor="hyperlink"/>
      <w:u w:val="single"/>
    </w:rPr>
  </w:style>
  <w:style w:type="paragraph" w:customStyle="1" w:styleId="EndNoteBibliography">
    <w:name w:val="EndNote Bibliography"/>
    <w:basedOn w:val="Normal"/>
    <w:link w:val="EndNoteBibliography0"/>
    <w:rsid w:val="00D44284"/>
    <w:rPr>
      <w:rFonts w:ascii="Calibri" w:hAnsi="Calibri" w:cs="Calibri"/>
      <w:szCs w:val="24"/>
    </w:rPr>
  </w:style>
  <w:style w:type="character" w:customStyle="1" w:styleId="EndNoteBibliography0">
    <w:name w:val="EndNote Bibliography 字元"/>
    <w:basedOn w:val="DefaultParagraphFont"/>
    <w:link w:val="EndNoteBibliography"/>
    <w:rsid w:val="00D44284"/>
    <w:rPr>
      <w:rFonts w:ascii="Calibri" w:hAnsi="Calibri" w:cs="Calibri"/>
      <w:szCs w:val="24"/>
    </w:rPr>
  </w:style>
  <w:style w:type="paragraph" w:styleId="Header">
    <w:name w:val="header"/>
    <w:basedOn w:val="Normal"/>
    <w:link w:val="HeaderChar"/>
    <w:uiPriority w:val="99"/>
    <w:unhideWhenUsed/>
    <w:rsid w:val="000E451A"/>
    <w:pPr>
      <w:tabs>
        <w:tab w:val="center" w:pos="4153"/>
        <w:tab w:val="right" w:pos="8306"/>
      </w:tabs>
      <w:snapToGrid w:val="0"/>
    </w:pPr>
    <w:rPr>
      <w:sz w:val="20"/>
      <w:szCs w:val="20"/>
    </w:rPr>
  </w:style>
  <w:style w:type="character" w:customStyle="1" w:styleId="HeaderChar">
    <w:name w:val="Header Char"/>
    <w:basedOn w:val="DefaultParagraphFont"/>
    <w:link w:val="Header"/>
    <w:uiPriority w:val="99"/>
    <w:rsid w:val="000E451A"/>
    <w:rPr>
      <w:sz w:val="20"/>
      <w:szCs w:val="20"/>
    </w:rPr>
  </w:style>
  <w:style w:type="paragraph" w:styleId="Footer">
    <w:name w:val="footer"/>
    <w:basedOn w:val="Normal"/>
    <w:link w:val="FooterChar"/>
    <w:uiPriority w:val="99"/>
    <w:unhideWhenUsed/>
    <w:rsid w:val="000E451A"/>
    <w:pPr>
      <w:tabs>
        <w:tab w:val="center" w:pos="4153"/>
        <w:tab w:val="right" w:pos="8306"/>
      </w:tabs>
      <w:snapToGrid w:val="0"/>
    </w:pPr>
    <w:rPr>
      <w:sz w:val="20"/>
      <w:szCs w:val="20"/>
    </w:rPr>
  </w:style>
  <w:style w:type="character" w:customStyle="1" w:styleId="FooterChar">
    <w:name w:val="Footer Char"/>
    <w:basedOn w:val="DefaultParagraphFont"/>
    <w:link w:val="Footer"/>
    <w:uiPriority w:val="99"/>
    <w:rsid w:val="000E451A"/>
    <w:rPr>
      <w:sz w:val="20"/>
      <w:szCs w:val="20"/>
    </w:rPr>
  </w:style>
  <w:style w:type="paragraph" w:styleId="Title">
    <w:name w:val="Title"/>
    <w:basedOn w:val="Normal"/>
    <w:next w:val="Normal"/>
    <w:link w:val="TitleChar"/>
    <w:uiPriority w:val="10"/>
    <w:qFormat/>
    <w:rsid w:val="00DE6038"/>
    <w:pPr>
      <w:spacing w:before="240" w:after="60"/>
      <w:jc w:val="center"/>
      <w:outlineLvl w:val="0"/>
    </w:pPr>
    <w:rPr>
      <w:rFonts w:asciiTheme="majorHAnsi" w:hAnsiTheme="majorHAnsi" w:cstheme="majorBidi"/>
      <w:b/>
      <w:bCs/>
      <w:sz w:val="32"/>
      <w:szCs w:val="32"/>
    </w:rPr>
  </w:style>
  <w:style w:type="character" w:customStyle="1" w:styleId="TitleChar">
    <w:name w:val="Title Char"/>
    <w:basedOn w:val="DefaultParagraphFont"/>
    <w:link w:val="Title"/>
    <w:uiPriority w:val="10"/>
    <w:rsid w:val="00DE6038"/>
    <w:rPr>
      <w:rFonts w:asciiTheme="majorHAnsi" w:eastAsia="標楷體" w:hAnsiTheme="majorHAnsi" w:cstheme="majorBidi"/>
      <w:b/>
      <w:bCs/>
      <w:sz w:val="32"/>
      <w:szCs w:val="32"/>
    </w:rPr>
  </w:style>
  <w:style w:type="character" w:customStyle="1" w:styleId="Heading2Char">
    <w:name w:val="Heading 2 Char"/>
    <w:basedOn w:val="DefaultParagraphFont"/>
    <w:link w:val="Heading2"/>
    <w:uiPriority w:val="9"/>
    <w:rsid w:val="00DE6038"/>
    <w:rPr>
      <w:rFonts w:asciiTheme="majorHAnsi" w:eastAsiaTheme="majorEastAsia" w:hAnsiTheme="majorHAnsi" w:cstheme="majorBidi"/>
      <w:b/>
      <w:bCs/>
      <w:sz w:val="48"/>
      <w:szCs w:val="48"/>
    </w:rPr>
  </w:style>
  <w:style w:type="character" w:customStyle="1" w:styleId="Heading4Char">
    <w:name w:val="Heading 4 Char"/>
    <w:basedOn w:val="DefaultParagraphFont"/>
    <w:link w:val="Heading4"/>
    <w:uiPriority w:val="9"/>
    <w:rsid w:val="00DE6038"/>
    <w:rPr>
      <w:rFonts w:asciiTheme="majorHAnsi" w:eastAsiaTheme="majorEastAsia" w:hAnsiTheme="majorHAnsi" w:cstheme="majorBidi"/>
      <w:sz w:val="36"/>
      <w:szCs w:val="36"/>
    </w:rPr>
  </w:style>
  <w:style w:type="character" w:customStyle="1" w:styleId="Heading1Char">
    <w:name w:val="Heading 1 Char"/>
    <w:basedOn w:val="DefaultParagraphFont"/>
    <w:link w:val="Heading1"/>
    <w:uiPriority w:val="9"/>
    <w:rsid w:val="00DE6038"/>
    <w:rPr>
      <w:rFonts w:asciiTheme="majorHAnsi" w:eastAsiaTheme="majorEastAsia" w:hAnsiTheme="majorHAnsi" w:cstheme="majorBidi"/>
      <w:b/>
      <w:bCs/>
      <w:kern w:val="52"/>
      <w:sz w:val="52"/>
      <w:szCs w:val="52"/>
    </w:rPr>
  </w:style>
  <w:style w:type="character" w:customStyle="1" w:styleId="Heading5Char">
    <w:name w:val="Heading 5 Char"/>
    <w:basedOn w:val="DefaultParagraphFont"/>
    <w:link w:val="Heading5"/>
    <w:uiPriority w:val="9"/>
    <w:rsid w:val="00DE6038"/>
    <w:rPr>
      <w:rFonts w:asciiTheme="majorHAnsi" w:eastAsiaTheme="majorEastAsia" w:hAnsiTheme="majorHAnsi" w:cstheme="majorBidi"/>
      <w:b/>
      <w:bCs/>
      <w:sz w:val="36"/>
      <w:szCs w:val="36"/>
    </w:rPr>
  </w:style>
  <w:style w:type="character" w:styleId="Emphasis">
    <w:name w:val="Emphasis"/>
    <w:basedOn w:val="DefaultParagraphFont"/>
    <w:uiPriority w:val="20"/>
    <w:qFormat/>
    <w:rsid w:val="00930578"/>
    <w:rPr>
      <w:i/>
      <w:iCs/>
    </w:rPr>
  </w:style>
  <w:style w:type="character" w:styleId="Strong">
    <w:name w:val="Strong"/>
    <w:basedOn w:val="DefaultParagraphFont"/>
    <w:uiPriority w:val="22"/>
    <w:qFormat/>
    <w:rsid w:val="00930578"/>
    <w:rPr>
      <w:b/>
      <w:bCs/>
    </w:rPr>
  </w:style>
  <w:style w:type="paragraph" w:styleId="E-mailSignature">
    <w:name w:val="E-mail Signature"/>
    <w:basedOn w:val="Normal"/>
    <w:link w:val="E-mailSignatureChar"/>
    <w:uiPriority w:val="99"/>
    <w:unhideWhenUsed/>
    <w:rsid w:val="0039141B"/>
    <w:pPr>
      <w:ind w:firstLineChars="0" w:firstLine="0"/>
      <w:jc w:val="left"/>
    </w:pPr>
    <w:rPr>
      <w:rFonts w:ascii="Calibri" w:eastAsia="新細明體" w:hAnsi="Calibri" w:cs="Times New Roman"/>
    </w:rPr>
  </w:style>
  <w:style w:type="character" w:customStyle="1" w:styleId="E-mailSignatureChar">
    <w:name w:val="E-mail Signature Char"/>
    <w:basedOn w:val="DefaultParagraphFont"/>
    <w:link w:val="E-mailSignature"/>
    <w:uiPriority w:val="99"/>
    <w:rsid w:val="0039141B"/>
    <w:rPr>
      <w:rFonts w:ascii="Calibri" w:eastAsia="新細明體" w:hAnsi="Calibri" w:cs="Times New Roman"/>
    </w:rPr>
  </w:style>
  <w:style w:type="paragraph" w:customStyle="1" w:styleId="mynorm3B">
    <w:name w:val="mynorm3B"/>
    <w:basedOn w:val="Normal"/>
    <w:rsid w:val="0039141B"/>
    <w:pPr>
      <w:kinsoku w:val="0"/>
      <w:overflowPunct w:val="0"/>
      <w:autoSpaceDE w:val="0"/>
      <w:autoSpaceDN w:val="0"/>
      <w:adjustRightInd w:val="0"/>
      <w:snapToGrid w:val="0"/>
      <w:spacing w:line="360" w:lineRule="auto"/>
      <w:ind w:firstLine="480"/>
    </w:pPr>
    <w:rPr>
      <w:rFonts w:eastAsia="Times New Roman" w:cs="新細明體"/>
      <w:kern w:val="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61884927">
      <w:bodyDiv w:val="1"/>
      <w:marLeft w:val="0"/>
      <w:marRight w:val="0"/>
      <w:marTop w:val="0"/>
      <w:marBottom w:val="0"/>
      <w:divBdr>
        <w:top w:val="none" w:sz="0" w:space="0" w:color="auto"/>
        <w:left w:val="none" w:sz="0" w:space="0" w:color="auto"/>
        <w:bottom w:val="none" w:sz="0" w:space="0" w:color="auto"/>
        <w:right w:val="none" w:sz="0" w:space="0" w:color="auto"/>
      </w:divBdr>
    </w:div>
    <w:div w:id="1034693763">
      <w:bodyDiv w:val="1"/>
      <w:marLeft w:val="0"/>
      <w:marRight w:val="0"/>
      <w:marTop w:val="0"/>
      <w:marBottom w:val="0"/>
      <w:divBdr>
        <w:top w:val="none" w:sz="0" w:space="0" w:color="auto"/>
        <w:left w:val="none" w:sz="0" w:space="0" w:color="auto"/>
        <w:bottom w:val="none" w:sz="0" w:space="0" w:color="auto"/>
        <w:right w:val="none" w:sz="0" w:space="0" w:color="auto"/>
      </w:divBdr>
    </w:div>
    <w:div w:id="1141919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BNP+Paribas+Cardif+TCB+Life+Insurance+Co.%2C+Ltd.&amp;num=10&amp;client=firefox-b-d&amp;hs=yDiU&amp;sca_esv=1a505bbb43a4d0bc&amp;biw=1665&amp;bih=728&amp;sxsrf=ANbL-n6xAX0i7u76uvVzaj2S21oJOxXfzw%3A1771482380247&amp;ei=DK2WaeHnDr2fvr0P1M7H2AI&amp;ved=2ahUKEwiY56Gk9uSSAxUIjK8BHcw6AI4QgK4QegQIARAB&amp;uact=5&amp;oq=%E5%90%88%E4%BD%9C%E9%87%91%E5%BA%AB%E4%BA%BA%E5%A3%BD%E4%BF%9D%E9%9A%AA+%E8%8B%B1%E6%96%87&amp;gs_lp=Egxnd3Mtd2l6LXNlcnAiH-WQiOS9nOmHkeW6q-S6uuWjveS_nemaqiDoi7HmlocyBRAhGKABMgUQIRigATIFECEYoAEyBRAhGKABSOtRUABYvUxwCXgBkAEAmAGHAaABvgqqAQQxMy4zuAEDyAEA-AEC-AEBmAIZoAKwC8ICCxAuGIAEGMcBGK8BwgIFEAAYgATCAgQQABgewgIaEC4YgAQYxwEYrwEYlwUY3AQY3gQY4ATYAQHCAggQABiABBiiBJgDALoGBggBEAEYFJIHBDIxLjSgB-oxsgcEMTIuNLgHhAvCBwgxLjE0LjkuMcgHP4AIAA&amp;sclient=gws-wiz-serp&amp;mstk=AUtExfBDjw0QBnQEBZC1fQpIYss_VponuEnJuTAzA5OtRgq8JIoZfpo-_l8axeSewkH3eIA1erX6bU6m0oqfGPuqTFQ458g5OVSouGmSieg833qpSLiKKZI6wl233xAl094eGmtP5DiZgd6aEtYUi4Y9e2a7_YOfLoHloB6XNyf2bhWnUXWMbZm6dpXMkReS0paa-M5NzINTlwic0YfjuanTYQtQZdgjuspyJp4O7WZs5SUxLzxZGxwQdvaulT2oKkmN81N3n7be15cT6T8s6aWmsMcF&amp;csui=3" TargetMode="Externa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https://doi.org/10.1016/j.cose.2021.102545"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2307/252927"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8724A8-04BE-4DBD-B3F1-D66ECEC244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25</Pages>
  <Words>6438</Words>
  <Characters>36698</Characters>
  <Application>Microsoft Office Word</Application>
  <DocSecurity>0</DocSecurity>
  <Lines>305</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蘇恩德</cp:lastModifiedBy>
  <cp:revision>3</cp:revision>
  <dcterms:created xsi:type="dcterms:W3CDTF">2026-02-21T07:47:00Z</dcterms:created>
  <dcterms:modified xsi:type="dcterms:W3CDTF">2026-02-21T07:54:00Z</dcterms:modified>
</cp:coreProperties>
</file>