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Helvetica Neue" w:hAnsi="Helvetica Neue" w:cs="Helvetica Neue"/>
          <w:sz w:val="52"/>
          <w:sz-cs w:val="52"/>
          <w:b/>
          <w:spacing w:val="0"/>
          <w:color w:val="141414"/>
        </w:rPr>
        <w:t xml:space="preserve">Starter Policy Pack, Free Download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Three ready-to-adapt templates: Information Security Policy, Acceptable Use Policy, and a Risk Register. These are the documents every GRC program needs first. Replace bracketed placeholders with your organization's details.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6D6D6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1. Information Security Policy (starter)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Owner: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[CISO / Security Lead] ·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Applies to: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all employees, contractors, and third parties with access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1.1 Purpose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Protect the confidentiality, integrity, and availability of [Company] information assets and comply with applicable legal, regulatory, and contractual obligations.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1.2 Scope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All information assets, data, systems, networks, and devices, owned or operated by [Company], and all personnel who access them.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1.3 Policy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Access control.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Access is granted on least-privilege, need-to-know basis. Access reviews occur [quarterly/annually]. Terminated personnel lose access within [24 hours].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Data classification.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Information is classified [Public / Internal / Confidential / Restricted] and handled per the Data Classification &amp; Handling Policy [link].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Endpoint protection.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Company devices must run approved [antivirus/EDR], receive updates within [X] days, and be encrypted at rest.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Authentication.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[MFA] is mandatory for all remote access, privileged accounts, and [critical systems]. Passwords follow [NIST SP 800-63B] guidance.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Incident reporting.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All suspected security incidents must be reported to [security@company.com] within [1 hour] of discovery. No retaliation for good-faith reporting.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Third parties.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Vendors with access to [Company] data must complete [TPRM questionnaire] and contractually commit to [ISO 27001 / SOC 2 / applicable standard].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Training.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All personnel complete security awareness training [upon hire and annually], including [phishing simulation].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41414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Exceptions.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Exceptions require documented approval by [CISO], with compensating controls and a remediation date.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1.4 Enforcement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Non-compliance may result in disciplinary action up to and including termination, and may be reported to regulators where required by law.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Review: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[Annually] ·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Next review: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[date]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6D6D6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2. Acceptable Use Policy (starter)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Owner: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[Security Lead / HR] ·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Applies to: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all personnel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Company resources are provided for business use; incidental personal use is permitted where it does not interfere with work or security.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Users must not: - Share credentials or bypass security controls (e.g., disabling MFA/AV). - Store [Confidential/Restricted] data on personal devices or unauthorized cloud services. - Download or install unapproved software. - Access, store, or transmit illegal, discriminatory, or harassing content.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Users must report lost/stolen devices and suspected compromise immediately.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[Company] may monitor resources to protect security and comply with law, consistent with [local privacy law / employee consent requirements].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Remote work requires [VPN] and adherence to [remote work policy].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6D6D6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3. Risk Register (starter format)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Risk / Threat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Asset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Likelihood (1-5)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Impact (1-5)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Risk Score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Owner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Controls in Place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Residual Score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Target Date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Status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R-001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Ransomware on file server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File server / shared drives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20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[IT Lead]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EDR, backups (daily, tested), MFA, user training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[Date]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Mitigating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R-002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Vendor data breach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Customer data at [Vendor]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12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[Procurement]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TPRM questionnaire, contract DPA, annual review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[Date]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Monitoring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R-003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Phishing → account takeover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Email / M365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16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[Security]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MFA enforced, phishing sims, awareness training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[Date]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Mitigating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R-004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Insider data exfiltration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HR / finance data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[HR]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DLP, least privilege, exit process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[Date]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Monitoring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R-005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Cloud misconfiguration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AWS account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15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[DevOps]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IaC, CIS benchmarks, weekly review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[Date]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Mitigating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Scoring: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5 = Almost certain / Catastrophic … 1 = Rare / Negligible. Risk Score = Likelihood × Impact.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Review cadence: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monthly by [Risk Owner]; escalate score ≥ 15 to [Management/Board].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6D6D6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i/>
          <w:spacing w:val="0"/>
          <w:color w:val="141414"/>
        </w:rPr>
        <w:t xml:space="preserve">Templates for adaptation, not legal advice. Tailor to your jurisdiction, contracts, and framework (ISO 27001 / NIST CSF / SOC 2) before use.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/>
      </w:r>
    </w:p>
    <w:p>
      <w:pPr>
        <w:spacing w:after="250"/>
      </w:pPr>
      <w:r>
        <w:rPr>
          <w:rFonts w:ascii="Helvetica Neue" w:hAnsi="Helvetica Neue" w:cs="Helvetica Neue"/>
          <w:sz w:val="25"/>
          <w:sz-cs w:val="25"/>
          <w:spacing w:val="0"/>
          <w:color w:val="757575"/>
        </w:rPr>
        <w:t xml:space="preserve">Free resource from </w:t>
      </w:r>
      <w:r>
        <w:rPr>
          <w:rFonts w:ascii="Helvetica Neue" w:hAnsi="Helvetica Neue" w:cs="Helvetica Neue"/>
          <w:sz w:val="25"/>
          <w:sz-cs w:val="25"/>
          <w:u w:val="single"/>
          <w:spacing w:val="0"/>
          <w:color w:val="A8740D"/>
        </w:rPr>
        <w:t xml:space="preserve">ZABEZ.com</w:t>
      </w:r>
      <w:r>
        <w:rPr>
          <w:rFonts w:ascii="Helvetica Neue" w:hAnsi="Helvetica Neue" w:cs="Helvetica Neue"/>
          <w:sz w:val="25"/>
          <w:sz-cs w:val="25"/>
          <w:spacing w:val="0"/>
          <w:color w:val="757575"/>
        </w:rPr>
        <w:t xml:space="preserve"> — independent GRC analyses of the world’s largest enterprises. Share freely; please keep this line.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