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none" w:color="FFFFFF" w:sz="0"/>
              <w:left w:val="none" w:color="FFFFFF" w:sz="0"/>
              <w:bottom w:val="none" w:color="FFFFFF" w:sz="0"/>
              <w:right w:val="none" w:color="FFFFFF" w:sz="0"/>
            </w:tcBorders>
            <w:shd w:fill="1A3C5E" w:val="clear"/>
            <w:tcMar>
              <w:top w:type="dxa" w:w="560"/>
              <w:left w:type="dxa" w:w="560"/>
              <w:bottom w:type="dxa" w:w="560"/>
              <w:right w:type="dxa" w:w="560"/>
            </w:tcMar>
          </w:tcPr>
          <w:p>
            <w:pPr>
              <w:spacing w:after="120"/>
              <w:jc w:val="center"/>
            </w:pPr>
            <w:r>
              <w:rPr>
                <w:rFonts w:ascii="Arial" w:cs="Arial" w:eastAsia="Arial" w:hAnsi="Arial"/>
                <w:b/>
                <w:bCs/>
                <w:color w:val="C8922A"/>
                <w:sz w:val="72"/>
                <w:szCs w:val="72"/>
              </w:rPr>
              <w:t xml:space="preserve">REWARDZ</w:t>
            </w:r>
          </w:p>
          <w:p>
            <w:pPr>
              <w:spacing w:after="80"/>
              <w:jc w:val="center"/>
            </w:pPr>
            <w:r>
              <w:rPr>
                <w:rFonts w:ascii="Arial" w:cs="Arial" w:eastAsia="Arial" w:hAnsi="Arial"/>
                <w:color w:val="DDDDDD"/>
                <w:sz w:val="28"/>
                <w:szCs w:val="28"/>
              </w:rPr>
              <w:t xml:space="preserve">Shared Loyalty Network for Independent Merchants</w:t>
            </w:r>
          </w:p>
          <w:p>
            <w:pPr>
              <w:spacing w:after="0"/>
              <w:jc w:val="center"/>
            </w:pPr>
            <w:r>
              <w:rPr>
                <w:rFonts w:ascii="Arial" w:cs="Arial" w:eastAsia="Arial" w:hAnsi="Arial"/>
                <w:color w:val="C8922A"/>
                <w:sz w:val="20"/>
                <w:szCs w:val="20"/>
              </w:rPr>
              <w:t xml:space="preserve">EXECUTIVE SUMMARY  |  CONCEPT STAGE  |  MARCH 2026</w:t>
            </w:r>
          </w:p>
        </w:tc>
      </w:tr>
    </w:tbl>
    <w:p>
      <w:pPr>
        <w:spacing w:before="240" w:after="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E67E22" w:sz="1"/>
              <w:left w:val="single" w:color="E67E22" w:sz="1"/>
              <w:bottom w:val="single" w:color="E67E22" w:sz="1"/>
              <w:right w:val="single" w:color="E67E22" w:sz="1"/>
            </w:tcBorders>
            <w:shd w:fill="FDF3DC" w:val="clear"/>
            <w:tcMar>
              <w:top w:type="dxa" w:w="120"/>
              <w:left w:type="dxa" w:w="200"/>
              <w:bottom w:type="dxa" w:w="120"/>
              <w:right w:type="dxa" w:w="200"/>
            </w:tcMar>
          </w:tcPr>
          <w:p>
            <w:pPr>
              <w:jc w:val="center"/>
            </w:pPr>
            <w:r>
              <w:rPr>
                <w:rFonts w:ascii="Arial" w:cs="Arial" w:eastAsia="Arial" w:hAnsi="Arial"/>
                <w:b/>
                <w:bCs/>
                <w:color w:val="E67E22"/>
                <w:sz w:val="18"/>
                <w:szCs w:val="18"/>
              </w:rPr>
              <w:t xml:space="preserve">CONFIDENTIAL — INITIAL CONCEPT DOCUMENT  |  FOR C-LEVEL REVIEW ONLY  |  NOT FOR DISTRIBUTION</w:t>
            </w:r>
          </w:p>
        </w:tc>
      </w:tr>
    </w:tbl>
    <w:p>
      <w:pPr>
        <w:spacing w:before="200" w:after="0"/>
      </w:pPr>
      <w:r>
        <w:t xml:space="preserve"/>
      </w:r>
    </w:p>
    <w:p>
      <w:pPr>
        <w:pStyle w:val="Heading1"/>
      </w:pPr>
      <w:r>
        <w:t xml:space="preserve">The Opportunity</w:t>
      </w:r>
    </w:p>
    <w:p>
      <w:pPr>
        <w:spacing w:before="60" w:after="120"/>
      </w:pPr>
      <w:r>
        <w:rPr>
          <w:rFonts w:ascii="Arial" w:cs="Arial" w:eastAsia="Arial" w:hAnsi="Arial"/>
          <w:color w:val="1A1A1A"/>
          <w:sz w:val="22"/>
          <w:szCs w:val="22"/>
        </w:rPr>
        <w:t xml:space="preserve">Rewardz is a proposed shared digital loyalty network designed exclusively for independent local merchants. The platform enables any independent business — coffee shops, restaurants, barbers, retailers — to offer a compelling, modern loyalty programme without proprietary hardware, technical expertise, or significant upfront cost.</w:t>
      </w:r>
    </w:p>
    <w:p>
      <w:pPr>
        <w:spacing w:before="60" w:after="120"/>
      </w:pPr>
      <w:r>
        <w:rPr>
          <w:rFonts w:ascii="Arial" w:cs="Arial" w:eastAsia="Arial" w:hAnsi="Arial"/>
          <w:color w:val="1A1A1A"/>
          <w:sz w:val="22"/>
          <w:szCs w:val="22"/>
        </w:rPr>
        <w:t xml:space="preserve">Independent merchants currently have no credible answer to the loyalty infrastructure operated by major chains. Starbucks, Costa, and Tesco Clubcard invest tens of millions to build habit, data, and retention. The independent sector — representing a substantial portion of UK high street commerce — operates on paper stamp cards or no loyalty mechanism at all. Rewardz closes this gap.</w:t>
      </w:r>
    </w:p>
    <w:p>
      <w:pPr>
        <w:spacing w:before="80" w:after="0"/>
      </w:pPr>
      <w:r>
        <w:t xml:space="preserve"/>
      </w:r>
    </w:p>
    <w:p>
      <w:pPr>
        <w:pStyle w:val="Heading1"/>
      </w:pPr>
      <w:r>
        <w:t xml:space="preserve">The Concept in Brief</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6386"/>
      </w:tblGrid>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3C5E"/>
                <w:sz w:val="20"/>
                <w:szCs w:val="20"/>
              </w:rPr>
              <w:t xml:space="preserve">Platform Name</w:t>
            </w:r>
          </w:p>
        </w:tc>
        <w:tc>
          <w:tcPr>
            <w:tcW w:type="dxa" w:w="6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Rewardz (working title; formerly explored as 'Tenthly')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Core Mechanic</w:t>
            </w:r>
          </w:p>
        </w:tc>
        <w:tc>
          <w:tcPr>
            <w:tcW w:type="dxa" w:w="6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Shared QR-based stamp/cash wallet loyalty network across participating independent merchants</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3C5E"/>
                <w:sz w:val="20"/>
                <w:szCs w:val="20"/>
              </w:rPr>
              <w:t xml:space="preserve">Revenue Model</w:t>
            </w:r>
          </w:p>
        </w:tc>
        <w:tc>
          <w:tcPr>
            <w:tcW w:type="dxa" w:w="6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per transaction (approx. 3p–20p per scan depending on transaction value); platform retains ~5p margin per scan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Merchant Cost</w:t>
            </w:r>
          </w:p>
        </w:tc>
        <w:tc>
          <w:tcPr>
            <w:tcW w:type="dxa" w:w="6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Approximately 20p per scan or 1% of transaction value; zero hardware required (BYOD)</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3C5E"/>
                <w:sz w:val="20"/>
                <w:szCs w:val="20"/>
              </w:rPr>
              <w:t xml:space="preserve">Customer Reward</w:t>
            </w:r>
          </w:p>
        </w:tc>
        <w:tc>
          <w:tcPr>
            <w:tcW w:type="dxa" w:w="6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Stamps accumulate across all network merchants; 10 stamps = free item or cash wallet payout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Technology</w:t>
            </w:r>
          </w:p>
        </w:tc>
        <w:tc>
          <w:tcPr>
            <w:tcW w:type="dxa" w:w="6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Cryptographic QR cycling (30-second refresh + post-scan invalidation), merchant app (BYOD), customer wallet app</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3C5E"/>
                <w:sz w:val="20"/>
                <w:szCs w:val="20"/>
              </w:rPr>
              <w:t xml:space="preserve">Compliance</w:t>
            </w:r>
          </w:p>
        </w:tc>
        <w:tc>
          <w:tcPr>
            <w:tcW w:type="dxa" w:w="6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FCA Small Payment Institution registration; fund routing via Stripe Connect (platform does not hold customer funds)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Beachhead Market</w:t>
            </w:r>
          </w:p>
        </w:tc>
        <w:tc>
          <w:tcPr>
            <w:tcW w:type="dxa" w:w="6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East Sussex coastal towns: Bexhill (~8 venues), Hastings (~10 venues), Eastbourne (~9 venues)</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3C5E"/>
                <w:sz w:val="20"/>
                <w:szCs w:val="20"/>
              </w:rPr>
              <w:t xml:space="preserve">Stage</w:t>
            </w:r>
          </w:p>
        </w:tc>
        <w:tc>
          <w:tcPr>
            <w:tcW w:type="dxa" w:w="6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Pre-product concept; no MVP built; research and go/no-go gate at Week 15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Target Date</w:t>
            </w:r>
          </w:p>
        </w:tc>
        <w:tc>
          <w:tcPr>
            <w:tcW w:type="dxa" w:w="6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 and China market entry by Month 6 (subject to proof of concept and funding)</w:t>
            </w:r>
          </w:p>
        </w:tc>
      </w:tr>
    </w:tbl>
    <w:p>
      <w:pPr>
        <w:spacing w:before="200" w:after="0"/>
      </w:pPr>
      <w:r>
        <w:t xml:space="preserve"/>
      </w:r>
    </w:p>
    <w:p>
      <w:pPr>
        <w:pStyle w:val="Heading1"/>
      </w:pPr>
      <w:r>
        <w:t xml:space="preserve">The Market Context</w:t>
      </w:r>
    </w:p>
    <w:p>
      <w:pPr>
        <w:spacing w:before="60" w:after="120"/>
      </w:pPr>
      <w:r>
        <w:rPr>
          <w:rFonts w:ascii="Arial" w:cs="Arial" w:eastAsia="Arial" w:hAnsi="Arial"/>
          <w:color w:val="1A1A1A"/>
          <w:sz w:val="22"/>
          <w:szCs w:val="22"/>
        </w:rPr>
        <w:t xml:space="preserve">The UK coffee shop market alone is valued at £6.1–£6.7 billion (2025), with approximately 11,500 branded outlets and a significant independent segment. The US market is estimated at $54–$74 billion. Independent operators typically account for 30–40% of venues nationally but receive negligible technology and loyalty infrastructure investment compared to major chains.</w:t>
      </w:r>
    </w:p>
    <w:p>
      <w:pPr>
        <w:spacing w:before="60" w:after="120"/>
      </w:pPr>
      <w:r>
        <w:rPr>
          <w:rFonts w:ascii="Arial" w:cs="Arial" w:eastAsia="Arial" w:hAnsi="Arial"/>
          <w:color w:val="1A1A1A"/>
          <w:sz w:val="22"/>
          <w:szCs w:val="22"/>
        </w:rPr>
        <w:t xml:space="preserve">Existing loyalty platforms predominantly serve chains or require costly hardware. Coalition networks such as Miconex have demonstrated that place-based shared loyalty is commercially viable, but their models rely on Business Improvement Districts for distribution and do not operate at the individual merchant transaction level that Rewardz proposes.</w:t>
      </w:r>
    </w:p>
    <w:p>
      <w:pPr>
        <w:spacing w:before="80" w:after="0"/>
      </w:pPr>
      <w:r>
        <w:t xml:space="preserve"/>
      </w:r>
    </w:p>
    <w:p>
      <w:pPr>
        <w:pStyle w:val="Heading1"/>
      </w:pPr>
      <w:r>
        <w:t xml:space="preserve">Unit Economics (Illustrative)</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800"/>
        <w:gridCol w:w="1800"/>
        <w:gridCol w:w="1900"/>
      </w:tblGrid>
      <w:tr>
        <w:trPr>
          <w:tblHeader/>
        </w:trP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Scenario</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Merchants</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Users</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Gross Revenue/yr</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Platform Margin/yr</w:t>
            </w:r>
          </w:p>
        </w:tc>
        <w:tc>
          <w:tcPr>
            <w:tcW w:type="dxa" w:w="19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Breakeven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Single Town Pilot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~£26,000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~£6,500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~350 merchants nationally</w:t>
            </w:r>
          </w:p>
        </w:tc>
      </w:tr>
      <w:tr>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East Sussex Beachhead</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27–40</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800+</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~£52,700</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~£13,000</w:t>
            </w:r>
          </w:p>
        </w:tc>
        <w:tc>
          <w:tcPr>
            <w:tcW w:type="dxa" w:w="1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National (50% indie pen.)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13,000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300k+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~£25.4M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bl>
    <w:p>
      <w:pPr>
        <w:spacing w:before="80" w:after="0"/>
      </w:pPr>
      <w:r>
        <w:t xml:space="preserve"/>
      </w:r>
    </w:p>
    <w:p>
      <w:pPr>
        <w:spacing w:before="60" w:after="120"/>
      </w:pPr>
      <w:r>
        <w:rPr>
          <w:rFonts w:ascii="Arial" w:cs="Arial" w:eastAsia="Arial" w:hAnsi="Arial"/>
          <w:color w:val="1A1A1A"/>
          <w:sz w:val="22"/>
          <w:szCs w:val="22"/>
        </w:rPr>
        <w:t xml:space="preserve">Note: All figures are concept-stage estimates derived from market research and financial modelling. They are not audited projections. Unit economics are subject to validation during the research phase.</w:t>
      </w:r>
    </w:p>
    <w:p>
      <w:pPr>
        <w:spacing w:before="200" w:after="0"/>
      </w:pPr>
      <w:r>
        <w:t xml:space="preserve"/>
      </w:r>
    </w:p>
    <w:p>
      <w:pPr>
        <w:pStyle w:val="Heading1"/>
      </w:pPr>
      <w:r>
        <w:t xml:space="preserve">Strategic Intent</w:t>
      </w:r>
    </w:p>
    <w:p>
      <w:pPr>
        <w:pStyle w:val="ListParagraph"/>
        <w:numPr>
          <w:ilvl w:val="0"/>
          <w:numId w:val="2"/>
        </w:numPr>
        <w:spacing w:before="40" w:after="60"/>
      </w:pPr>
      <w:r>
        <w:rPr>
          <w:rFonts w:ascii="Arial" w:cs="Arial" w:eastAsia="Arial" w:hAnsi="Arial"/>
          <w:color w:val="1A1A1A"/>
          <w:sz w:val="22"/>
          <w:szCs w:val="22"/>
        </w:rPr>
        <w:t xml:space="preserve">Establish first-mover position in the independent merchant shared loyalty category in the UK within 6 months.</w:t>
      </w:r>
    </w:p>
    <w:p>
      <w:pPr>
        <w:pStyle w:val="ListParagraph"/>
        <w:numPr>
          <w:ilvl w:val="0"/>
          <w:numId w:val="2"/>
        </w:numPr>
        <w:spacing w:before="40" w:after="60"/>
      </w:pPr>
      <w:r>
        <w:rPr>
          <w:rFonts w:ascii="Arial" w:cs="Arial" w:eastAsia="Arial" w:hAnsi="Arial"/>
          <w:color w:val="1A1A1A"/>
          <w:sz w:val="22"/>
          <w:szCs w:val="22"/>
        </w:rPr>
        <w:t xml:space="preserve">US and China market entry by Month 6, leveraging the platform's horizontal applicability beyond coffee.</w:t>
      </w:r>
    </w:p>
    <w:p>
      <w:pPr>
        <w:pStyle w:val="ListParagraph"/>
        <w:numPr>
          <w:ilvl w:val="0"/>
          <w:numId w:val="2"/>
        </w:numPr>
        <w:spacing w:before="40" w:after="60"/>
      </w:pPr>
      <w:r>
        <w:rPr>
          <w:rFonts w:ascii="Arial" w:cs="Arial" w:eastAsia="Arial" w:hAnsi="Arial"/>
          <w:color w:val="1A1A1A"/>
          <w:sz w:val="22"/>
          <w:szCs w:val="22"/>
        </w:rPr>
        <w:t xml:space="preserve">Pricing locked at approximately 1% of transaction value — designed to be structurally unbeatable for incumbents to match without cannibalising their own margins.</w:t>
      </w:r>
    </w:p>
    <w:p>
      <w:pPr>
        <w:pStyle w:val="ListParagraph"/>
        <w:numPr>
          <w:ilvl w:val="0"/>
          <w:numId w:val="2"/>
        </w:numPr>
        <w:spacing w:before="40" w:after="60"/>
      </w:pPr>
      <w:r>
        <w:rPr>
          <w:rFonts w:ascii="Arial" w:cs="Arial" w:eastAsia="Arial" w:hAnsi="Arial"/>
          <w:color w:val="1A1A1A"/>
          <w:sz w:val="22"/>
          <w:szCs w:val="22"/>
        </w:rPr>
        <w:t xml:space="preserve">Early adopter lock-in at current rates for 1–3 year terms, creating a compounding installed base advantage.</w:t>
      </w:r>
    </w:p>
    <w:p>
      <w:pPr>
        <w:pStyle w:val="ListParagraph"/>
        <w:numPr>
          <w:ilvl w:val="0"/>
          <w:numId w:val="2"/>
        </w:numPr>
        <w:spacing w:before="40" w:after="60"/>
      </w:pPr>
      <w:r>
        <w:rPr>
          <w:rFonts w:ascii="Arial" w:cs="Arial" w:eastAsia="Arial" w:hAnsi="Arial"/>
          <w:color w:val="1A1A1A"/>
          <w:sz w:val="22"/>
          <w:szCs w:val="22"/>
        </w:rPr>
        <w:t xml:space="preserve">Open architecture from day one: the platform is not a coffee loyalty app — it is a shared loyalty infrastructure layer applicable across any independent retail or hospitality vertical.</w:t>
      </w:r>
    </w:p>
    <w:p>
      <w:pPr>
        <w:spacing w:before="200" w:after="0"/>
      </w:pPr>
      <w:r>
        <w:t xml:space="preserve"/>
      </w:r>
    </w:p>
    <w:p>
      <w:pPr>
        <w:pStyle w:val="Heading1"/>
      </w:pPr>
      <w:r>
        <w:t xml:space="preserve">Funding Position</w:t>
      </w:r>
    </w:p>
    <w:p>
      <w:pPr>
        <w:spacing w:before="60" w:after="120"/>
      </w:pPr>
      <w:r>
        <w:rPr>
          <w:rFonts w:ascii="Arial" w:cs="Arial" w:eastAsia="Arial" w:hAnsi="Arial"/>
          <w:color w:val="1A1A1A"/>
          <w:sz w:val="22"/>
          <w:szCs w:val="22"/>
        </w:rPr>
        <w:t xml:space="preserve">The founders are seeking an initial raise of $1M representing 1% equity (implied valuation $100M). This is an aggressive pre-product valuation anchored on the size of the market opportunity, the first-mover window, and the structural defensibility of the pricing model. Four investor protections are proposed: non-renegotiation clause, overfund buffer (1.5× raise), milestone-locked tranches, and anti-dilution provision.</w:t>
      </w:r>
    </w:p>
    <w:p>
      <w:pPr>
        <w:spacing w:before="200" w:after="0"/>
      </w:pPr>
      <w:r>
        <w:t xml:space="preserve"/>
      </w:r>
    </w:p>
    <w:p>
      <w:pPr>
        <w:pStyle w:val="Heading1"/>
      </w:pPr>
      <w:r>
        <w:t xml:space="preserve">Recommended Immediate Actions</w:t>
      </w:r>
    </w:p>
    <w:p>
      <w:pPr>
        <w:pStyle w:val="ListParagraph"/>
        <w:numPr>
          <w:ilvl w:val="0"/>
          <w:numId w:val="3"/>
        </w:numPr>
        <w:spacing w:before="40" w:after="60"/>
      </w:pPr>
      <w:r>
        <w:rPr>
          <w:rFonts w:ascii="Arial" w:cs="Arial" w:eastAsia="Arial" w:hAnsi="Arial"/>
          <w:sz w:val="22"/>
          <w:szCs w:val="22"/>
        </w:rPr>
        <w:t xml:space="preserve">Commission structured research programme (7 workstreams; £3,200–£7,500 budget; 15-week timeline).</w:t>
      </w:r>
    </w:p>
    <w:p>
      <w:pPr>
        <w:pStyle w:val="ListParagraph"/>
        <w:numPr>
          <w:ilvl w:val="0"/>
          <w:numId w:val="3"/>
        </w:numPr>
        <w:spacing w:before="40" w:after="60"/>
      </w:pPr>
      <w:r>
        <w:rPr>
          <w:rFonts w:ascii="Arial" w:cs="Arial" w:eastAsia="Arial" w:hAnsi="Arial"/>
          <w:sz w:val="22"/>
          <w:szCs w:val="22"/>
        </w:rPr>
        <w:t xml:space="preserve">Appoint or identify legal counsel with FCA e-money experience.</w:t>
      </w:r>
    </w:p>
    <w:p>
      <w:pPr>
        <w:pStyle w:val="ListParagraph"/>
        <w:numPr>
          <w:ilvl w:val="0"/>
          <w:numId w:val="3"/>
        </w:numPr>
        <w:spacing w:before="40" w:after="60"/>
      </w:pPr>
      <w:r>
        <w:rPr>
          <w:rFonts w:ascii="Arial" w:cs="Arial" w:eastAsia="Arial" w:hAnsi="Arial"/>
          <w:sz w:val="22"/>
          <w:szCs w:val="22"/>
        </w:rPr>
        <w:t xml:space="preserve">Commission MVP technical scoping (architecture, build cost, timeline).</w:t>
      </w:r>
    </w:p>
    <w:p>
      <w:pPr>
        <w:pStyle w:val="ListParagraph"/>
        <w:numPr>
          <w:ilvl w:val="0"/>
          <w:numId w:val="3"/>
        </w:numPr>
        <w:spacing w:before="40" w:after="60"/>
      </w:pPr>
      <w:r>
        <w:rPr>
          <w:rFonts w:ascii="Arial" w:cs="Arial" w:eastAsia="Arial" w:hAnsi="Arial"/>
          <w:sz w:val="22"/>
          <w:szCs w:val="22"/>
        </w:rPr>
        <w:t xml:space="preserve">Initiate merchant discovery interviews in East Sussex beachhead territory.</w:t>
      </w:r>
    </w:p>
    <w:p>
      <w:pPr>
        <w:pStyle w:val="ListParagraph"/>
        <w:numPr>
          <w:ilvl w:val="0"/>
          <w:numId w:val="3"/>
        </w:numPr>
        <w:spacing w:before="40" w:after="60"/>
      </w:pPr>
      <w:r>
        <w:rPr>
          <w:rFonts w:ascii="Arial" w:cs="Arial" w:eastAsia="Arial" w:hAnsi="Arial"/>
          <w:sz w:val="22"/>
          <w:szCs w:val="22"/>
        </w:rPr>
        <w:t xml:space="preserve">Identify prospective China local partner or operating contact (pre-entry alliance building).</w:t>
      </w:r>
    </w:p>
    <w:p>
      <w:pPr>
        <w:spacing w:before="200" w:after="0"/>
      </w:pPr>
      <w:r>
        <w:t xml:space="preserve"/>
      </w:r>
    </w:p>
    <w:p>
      <w:pPr>
        <w:pStyle w:val="Heading1"/>
      </w:pPr>
      <w:r>
        <w:t xml:space="preserve">Decision Gate</w:t>
      </w:r>
    </w:p>
    <w:p>
      <w:pPr>
        <w:spacing w:before="60" w:after="120"/>
      </w:pPr>
      <w:r>
        <w:rPr>
          <w:rFonts w:ascii="Arial" w:cs="Arial" w:eastAsia="Arial" w:hAnsi="Arial"/>
          <w:color w:val="1A1A1A"/>
          <w:sz w:val="22"/>
          <w:szCs w:val="22"/>
        </w:rPr>
        <w:t xml:space="preserve">A formal Go / No-Go decision point is proposed at Week 15, based on the outcomes of the research programme. The decision scorecard assesses: validated merchant demand, consumer behaviour insight, technical feasibility, regulatory pathway clarity, and unit economics confirmation. C-level sign-off is required before any capital deployment into MVP build or market activation.</w:t>
      </w:r>
    </w:p>
    <w:p>
      <w:pPr>
        <w:spacing w:before="240" w:after="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1A3C5E" w:sz="1"/>
              <w:left w:val="single" w:color="1A3C5E" w:sz="1"/>
              <w:bottom w:val="single" w:color="1A3C5E" w:sz="1"/>
              <w:right w:val="single" w:color="1A3C5E" w:sz="1"/>
            </w:tcBorders>
            <w:shd w:fill="D5E8F5" w:val="clear"/>
            <w:tcMar>
              <w:top w:type="dxa" w:w="200"/>
              <w:left w:type="dxa" w:w="300"/>
              <w:bottom w:type="dxa" w:w="200"/>
              <w:right w:type="dxa" w:w="300"/>
            </w:tcMar>
          </w:tcPr>
          <w:p>
            <w:pPr>
              <w:spacing w:after="80"/>
              <w:jc w:val="center"/>
            </w:pPr>
            <w:r>
              <w:rPr>
                <w:rFonts w:ascii="Arial" w:cs="Arial" w:eastAsia="Arial" w:hAnsi="Arial"/>
                <w:b/>
                <w:bCs/>
                <w:color w:val="1A3C5E"/>
                <w:sz w:val="20"/>
                <w:szCs w:val="20"/>
              </w:rPr>
              <w:t xml:space="preserve">This document is a concept-stage summary for internal C-level review.</w:t>
            </w:r>
          </w:p>
          <w:p>
            <w:pPr>
              <w:jc w:val="center"/>
            </w:pPr>
            <w:r>
              <w:rPr>
                <w:rFonts w:ascii="Arial" w:cs="Arial" w:eastAsia="Arial" w:hAnsi="Arial"/>
                <w:color w:val="555555"/>
                <w:sz w:val="18"/>
                <w:szCs w:val="18"/>
              </w:rPr>
              <w:t xml:space="preserve">It does not represent audited financials, legal advice, or a formal investment prospectus. All claims are based on initial research and modelling.</w:t>
            </w:r>
          </w:p>
        </w:tc>
      </w:tr>
    </w:tbl>
    <w:sectPr>
      <w:headerReference w:type="default" r:id="rId6"/>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00" w:after="0"/>
      <w:jc w:val="center"/>
    </w:pPr>
    <w:r>
      <w:rPr>
        <w:rFonts w:ascii="Arial" w:cs="Arial" w:eastAsia="Arial" w:hAnsi="Arial"/>
        <w:color w:val="CCCCCC"/>
        <w:sz w:val="16"/>
        <w:szCs w:val="16"/>
      </w:rPr>
      <w:t xml:space="preserve">Rewardz Ltd (Concept)  |  Confidential — Not for Distribution  |  March 2026  |  Page </w:t>
    </w:r>
    <w:r>
      <w:rPr>
        <w:rFonts w:ascii="Arial" w:cs="Arial" w:eastAsia="Arial" w:hAnsi="Arial"/>
        <w:color w:val="CCCCCC"/>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22A" w:sz="4" w:space="4"/>
      </w:pBdr>
      <w:spacing w:before="0" w:after="120"/>
      <w:jc w:val="right"/>
    </w:pPr>
    <w:r>
      <w:rPr>
        <w:rFonts w:ascii="Arial" w:cs="Arial" w:eastAsia="Arial" w:hAnsi="Arial"/>
        <w:color w:val="CCCCCC"/>
        <w:sz w:val="18"/>
        <w:szCs w:val="18"/>
      </w:rPr>
      <w:t xml:space="preserve">REWARDZ — CONFIDENTIAL  |  </w:t>
    </w:r>
    <w:r>
      <w:rPr>
        <w:rFonts w:ascii="Arial" w:cs="Arial" w:eastAsia="Arial" w:hAnsi="Arial"/>
        <w:b/>
        <w:bCs/>
        <w:color w:val="1A3C5E"/>
        <w:sz w:val="18"/>
        <w:szCs w:val="18"/>
      </w:rPr>
      <w:t xml:space="preserve">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C5E"/>
      <w:sz w:val="36"/>
      <w:szCs w:val="36"/>
    </w:rPr>
  </w:style>
  <w:style w:type="paragraph" w:styleId="Heading2">
    <w:name w:val="Heading 2"/>
    <w:basedOn w:val="Normal"/>
    <w:next w:val="Normal"/>
    <w:qFormat/>
    <w:pPr>
      <w:pBdr>
        <w:bottom w:val="single" w:color="C8922A" w:sz="4" w:space="4"/>
      </w:pBdr>
      <w:spacing w:before="280" w:after="120"/>
      <w:outlineLvl w:val="1"/>
    </w:pPr>
    <w:rPr>
      <w:rFonts w:ascii="Arial" w:cs="Arial" w:eastAsia="Arial" w:hAnsi="Arial"/>
      <w:b/>
      <w:bCs/>
      <w:color w:val="1A3C5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2026-03-20T02:20:55.579Z</dcterms:created>
  <dcterms:modified xsi:type="dcterms:W3CDTF">2026-03-20T02:20:55.580Z</dcterms:modified>
</cp:coreProperties>
</file>

<file path=docProps/custom.xml><?xml version="1.0" encoding="utf-8"?>
<Properties xmlns="http://schemas.openxmlformats.org/officeDocument/2006/custom-properties" xmlns:vt="http://schemas.openxmlformats.org/officeDocument/2006/docPropsVTypes"/>
</file>