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64"/>
                <w:szCs w:val="64"/>
              </w:rPr>
              <w:t xml:space="preserve">REWARDZ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BUSINESS MODEL &amp; UNIT ECONOMICS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</w:pPr>
      <w:r>
        <w:t xml:space="preserve">1. Revenue Model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Rewardz revenue model is transaction-based, with a small per-scan fee payable by the merchant on each customer loyalty interaction. This aligns platform revenue directly with merchant activity — the platform earns when merchants earn.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1.1 Core Transaction Fee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~1% of transaction value per scan; approximately 3p–20p per scan at typical coffee shop price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Platform Margin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~5p retained per scan after customer reward allocation and payment processing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Merchant Cost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~20p per scan or 1% of transaction value (merchant-facing price, not platform margin)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Settlement Cadence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— minimises float exposure and simplifies merchant cash flow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Payment Rail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Connect — platform is marketplace facilitator; no principal fund-holding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t xml:space="preserve">1.2 Pricing Rationale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1% pricing model is deliberately positioned to be structurally unbeatable for any well-capitalised competitor. Major loyalty platforms charge 1.5–3% of transaction value or require upfront hardware and SaaS fees that price out independent operators entirely. Rewardz's 1% model is sustainable at scale but inaccessible to incumbents without cannibalising their existing revenue structures.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early adopter lock-in programme offers 1–3 year pricing guarantees to founding merchants, creating an installed base that is expensive to displace and generates compounding network value as the merchant count grows.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t xml:space="preserve">1.3 Premium Revenue Streams (Future)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Analytics Dashboard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 tier providing transaction frequency, customer retention, churn alerts, competitor benchmarking.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1–2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Promotional Placement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visibility within the customer app — double-stamp promotions, featured merchant placement.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Roaster / Supplier Partnerships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share from supply partnerships introduced through the platform network.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White-Label Infrastructure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Licencing the platform infrastructure to BIDs, councils, or international operators.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2–3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Insights (Aggregated)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Anonymised, aggregate market intelligence sold to CPG brands and urban planners — never individual merchant or customer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3+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Tourism Integration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Visitor loyalty pass products — cross-sector (accommodation, food, attractions) for destination markets.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2. Unit Economics Model</w:t>
      </w:r>
    </w:p>
    <w:p>
      <w:pPr>
        <w:pStyle w:val="Heading2"/>
      </w:pPr>
      <w:r>
        <w:t xml:space="preserve">2.1 Per-Transaction Economics (Coffee Shop Baseline)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8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coffee 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£3.00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Conservative mid-market estimate; UK average £3.00–£3.50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fee (1% of transaction)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~3p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Payable by merchant on each scan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processing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~0.5p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Connect + infrastructure cost per transaction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net margin per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~2.5p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Before reward allocation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Reward liability per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~0p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Reward triggered at 10th scan only; amortised across 10 scans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Reward cost amortised per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~0.5p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Assuming £0.30 cash wallet payout per 10-stamp cycle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net margin per scan (fully loaded)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~2p</w:t>
            </w:r>
          </w:p>
        </w:tc>
        <w:tc>
          <w:tcPr>
            <w:tcW w:type="dxa" w:w="3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Illustrative; subject to validation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</w:pPr>
      <w:r>
        <w:t xml:space="preserve">2.2 Single Town Model (Beachhead)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8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Participating merchants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scans per user per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scans per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1,750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 revenue per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~£160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 revenue per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~£3,900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~£8,320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~£18,200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margin per year (~30%)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~£1,200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~£2,500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~£5,460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The higher gross revenue estimates cited in previous analysis (£26k gross / £6.5k margin for 20 merchants / 400 users) reflect a broader interpretation of transaction values and may include food and non-coffee purchases. The above model applies a conservative coffee-only baseline for conservative scenario planning. The business case strengthens materially as the platform expands beyond coffee into restaurants, barbers, and retail where average transaction values are higher.</w:t>
      </w:r>
    </w:p>
    <w:p>
      <w:pPr>
        <w:spacing w:before="200" w:after="0"/>
      </w:pPr>
      <w:r>
        <w:t xml:space="preserve"/>
      </w:r>
    </w:p>
    <w:p>
      <w:pPr>
        <w:pStyle w:val="Heading2"/>
      </w:pPr>
      <w:r>
        <w:t xml:space="preserve">2.3 National Scale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2400"/>
        <w:gridCol w:w="11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Gross Revenue</w:t>
            </w:r>
          </w:p>
        </w:tc>
        <w:tc>
          <w:tcPr>
            <w:tcW w:type="dxa" w:w="1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1–6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~£52,700</w:t>
            </w:r>
          </w:p>
        </w:tc>
        <w:tc>
          <w:tcPr>
            <w:tcW w:type="dxa" w:w="1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~£13,000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7–18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~£330,000</w:t>
            </w:r>
          </w:p>
        </w:tc>
        <w:tc>
          <w:tcPr>
            <w:tcW w:type="dxa" w:w="1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~£85,000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 Cities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19–36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~£2.7M</w:t>
            </w:r>
          </w:p>
        </w:tc>
        <w:tc>
          <w:tcPr>
            <w:tcW w:type="dxa" w:w="1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~£700k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National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37–60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~£25.4M</w:t>
            </w:r>
          </w:p>
        </w:tc>
        <w:tc>
          <w:tcPr>
            <w:tcW w:type="dxa" w:w="1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~£6.4M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Breakeven is estimated at approximately 350–400 active merchants nationally, with strong positive unit economics beyond that threshold. Phase 1 (pilot) is expected to operate at a net loss absorbed by seed funding. Phases 2–3 should reach contribution margin breakeven. Phase 4 represents the intended scaled revenue model.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3. Cost Structure</w:t>
      </w:r>
    </w:p>
    <w:p>
      <w:pPr>
        <w:pStyle w:val="Heading2"/>
      </w:pPr>
      <w:r>
        <w:t xml:space="preserve">3.1 Technology Infrastructure (Annual Estimates)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8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(Month 0–6)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(Month 6–18)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(Month 18+)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infrastructure (DOKS)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£500–£800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£2,000–£5,000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£15,000–£50,000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processing (Stripe)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 ~0.5%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 ~0.5%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Volume-negotiated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(MVP build)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£40,000–£80,000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investment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/ pen testing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£5,000–£10,000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compliance / legal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£10,000–£20,000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4. Financial Risks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Pooled 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Free-item redemption across network creates complex multi-merchant liability.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Cash wallet model preferred — eliminates free-item pooling; each payout is a direct cash credit.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adoption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economics require sufficient scan volume to cover platform costs.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Beachhead strategy — deep penetration in one geography before scaling; early adopter incentives.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fee erosion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very low transaction values, Stripe minimum fees may erode margin.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transaction floor and/or batch payment model to be investigated in technical phase.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Regulatory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SPI registration and ongoing compliance may exceed estimates.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Conservative budget allocation; Stripe Connect significantly reduces regulatory burden versus holding funds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Pricing pressure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Competitor entry may compress fee rates.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Early adopter lock-ins provide 1–3 year protection; network effect creates switching cost.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 w:after="0"/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Rewardz Ltd (Concept)  |  Confidential — Not for Distribution  |  March 2026  |  Page </w:t>
    </w:r>
    <w:r>
      <w:rPr>
        <w:rFonts w:ascii="Arial" w:cs="Arial" w:eastAsia="Arial" w:hAnsi="Arial"/>
        <w:color w:val="CCCCCC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4" w:space="4"/>
      </w:pBdr>
      <w:spacing w:before="0" w:after="12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REWARDZ — CONFIDENTIAL  |  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Business Model &amp; Unit Economics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922A" w:sz="4" w:space="4"/>
      </w:pBdr>
      <w:spacing w:before="280" w:after="1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2026-03-20T02:20:55.924Z</dcterms:created>
  <dcterms:modified xsi:type="dcterms:W3CDTF">2026-03-20T02:20:55.924Z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