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none" w:color="FFFFFF" w:sz="0"/>
              <w:left w:val="none" w:color="FFFFFF" w:sz="0"/>
              <w:bottom w:val="none" w:color="FFFFFF" w:sz="0"/>
              <w:right w:val="none" w:color="FFFFFF" w:sz="0"/>
            </w:tcBorders>
            <w:shd w:fill="2C1810" w:val="clear"/>
            <w:tcMar>
              <w:top w:type="dxa" w:w="500"/>
              <w:left w:type="dxa" w:w="560"/>
              <w:bottom w:type="dxa" w:w="500"/>
              <w:right w:type="dxa" w:w="560"/>
            </w:tcMar>
          </w:tcPr>
          <w:p>
            <w:pPr>
              <w:spacing w:after="100"/>
              <w:jc w:val="center"/>
            </w:pPr>
            <w:r>
              <w:rPr>
                <w:rFonts w:ascii="Arial" w:cs="Arial" w:eastAsia="Arial" w:hAnsi="Arial"/>
                <w:b/>
                <w:bCs/>
                <w:color w:val="C8922A"/>
                <w:sz w:val="56"/>
                <w:szCs w:val="56"/>
              </w:rPr>
              <w:t xml:space="preserve">THE REWARDZ COVENANTS</w:t>
            </w:r>
          </w:p>
          <w:p>
            <w:pPr>
              <w:spacing w:after="80"/>
              <w:jc w:val="center"/>
            </w:pPr>
            <w:r>
              <w:rPr>
                <w:rFonts w:ascii="Arial" w:cs="Arial" w:eastAsia="Arial" w:hAnsi="Arial"/>
                <w:color w:val="DDDDDD"/>
                <w:sz w:val="28"/>
                <w:szCs w:val="28"/>
              </w:rPr>
              <w:t xml:space="preserve">A Charter of Founding Commitments</w:t>
            </w:r>
          </w:p>
          <w:p>
            <w:pPr>
              <w:jc w:val="center"/>
            </w:pPr>
            <w:r>
              <w:rPr>
                <w:rFonts w:ascii="Arial" w:cs="Arial" w:eastAsia="Arial" w:hAnsi="Arial"/>
                <w:i/>
                <w:iCs/>
                <w:color w:val="AAAAAA"/>
                <w:sz w:val="20"/>
                <w:szCs w:val="20"/>
              </w:rPr>
              <w:t xml:space="preserve">Adopted at inception. Not subject to commercial revision.</w:t>
            </w:r>
          </w:p>
        </w:tc>
      </w:tr>
    </w:tbl>
    <w:p>
      <w:pPr>
        <w:spacing w:before="240" w:after="0"/>
      </w:pPr>
      <w:r>
        <w:t xml:space="preserve"/>
      </w:r>
    </w:p>
    <w:p>
      <w:pPr>
        <w:pStyle w:val="Heading1"/>
      </w:pPr>
      <w:r>
        <w:t xml:space="preserve">Preamble</w:t>
      </w:r>
    </w:p>
    <w:p>
      <w:pPr>
        <w:spacing w:before="60" w:after="120"/>
      </w:pPr>
      <w:r>
        <w:rPr>
          <w:rFonts w:ascii="Arial" w:cs="Arial" w:eastAsia="Arial" w:hAnsi="Arial"/>
          <w:color w:val="1A1A1A"/>
          <w:sz w:val="22"/>
          <w:szCs w:val="22"/>
        </w:rPr>
        <w:t xml:space="preserve">These Covenants are established at the founding of Rewardz as binding commitments to the communities, merchants, and customers the platform exists to serve. They are not aspirational statements or marketing positions. They are constraints on the conduct of the business — placed deliberately and permanently at the foundation — to ensure that the platform does not, as it scales and attracts capital, lose sight of why it was built.</w:t>
      </w:r>
    </w:p>
    <w:p>
      <w:pPr>
        <w:spacing w:before="60" w:after="120"/>
      </w:pPr>
      <w:r>
        <w:rPr>
          <w:rFonts w:ascii="Arial" w:cs="Arial" w:eastAsia="Arial" w:hAnsi="Arial"/>
          <w:color w:val="1A1A1A"/>
          <w:sz w:val="22"/>
          <w:szCs w:val="22"/>
        </w:rPr>
        <w:t xml:space="preserve">The independent merchant sector is the backbone of local high streets and community economies. It has been systematically underserved by the technology industry, which has historically built infrastructure for scale — for chains, for franchises, for businesses with procurement budgets. Rewardz was built to reverse this. These Covenants are the guarantee that it will remain so.</w:t>
      </w:r>
    </w:p>
    <w:p>
      <w:pPr>
        <w:spacing w:before="200" w:after="0"/>
      </w:pPr>
      <w:r>
        <w:t xml:space="preserve"/>
      </w:r>
    </w:p>
    <w:p>
      <w:pPr>
        <w:pStyle w:val="Heading1"/>
      </w:pPr>
      <w:r>
        <w:t xml:space="preserve">Covenant I — Independent First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C8922A" w:sz="1"/>
              <w:left w:val="single" w:color="C8922A" w:sz="1"/>
              <w:bottom w:val="single" w:color="C8922A" w:sz="1"/>
              <w:right w:val="single" w:color="C8922A" w:sz="1"/>
            </w:tcBorders>
            <w:shd w:fill="FDF3DC" w:val="clear"/>
            <w:tcMar>
              <w:top w:type="dxa" w:w="160"/>
              <w:left w:type="dxa" w:w="280"/>
              <w:bottom w:type="dxa" w:w="160"/>
              <w:right w:type="dxa" w:w="280"/>
            </w:tcMar>
          </w:tcPr>
          <w:p>
            <w:r>
              <w:rPr>
                <w:rFonts w:ascii="Arial" w:cs="Arial" w:eastAsia="Arial" w:hAnsi="Arial"/>
                <w:i/>
                <w:iCs/>
                <w:color w:val="1A1A1A"/>
                <w:sz w:val="22"/>
                <w:szCs w:val="22"/>
              </w:rPr>
              <w:t xml:space="preserve">The platform will always prioritise independent merchants over chains, franchises, and corporate-owned multi-site operators. Where a product decision, pricing decision, or policy decision creates a conflict between the interests of an independent operator and a corporate entity, the independent operator's interests shall prevail.</w:t>
            </w:r>
          </w:p>
        </w:tc>
      </w:tr>
    </w:tbl>
    <w:p>
      <w:pPr>
        <w:spacing w:before="80" w:after="0"/>
      </w:pPr>
      <w:r>
        <w:t xml:space="preserve"/>
      </w:r>
    </w:p>
    <w:p>
      <w:pPr>
        <w:spacing w:before="60" w:after="120"/>
      </w:pPr>
      <w:r>
        <w:rPr>
          <w:rFonts w:ascii="Arial" w:cs="Arial" w:eastAsia="Arial" w:hAnsi="Arial"/>
          <w:color w:val="1A1A1A"/>
          <w:sz w:val="22"/>
          <w:szCs w:val="22"/>
        </w:rPr>
        <w:t xml:space="preserve">Operationalisation: National chains and franchises are ineligible for the Rewardz network. The definition of 'independent' is documented in the Merchant Eligibility Policy and shall not be amended without a two-thirds majority of the Merchant Advisory Board.</w:t>
      </w:r>
    </w:p>
    <w:p>
      <w:pPr>
        <w:spacing w:before="200" w:after="0"/>
      </w:pPr>
      <w:r>
        <w:t xml:space="preserve"/>
      </w:r>
    </w:p>
    <w:p>
      <w:pPr>
        <w:pStyle w:val="Heading1"/>
      </w:pPr>
      <w:r>
        <w:t xml:space="preserve">Covenant II — Data Sovereignty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C8922A" w:sz="1"/>
              <w:left w:val="single" w:color="C8922A" w:sz="1"/>
              <w:bottom w:val="single" w:color="C8922A" w:sz="1"/>
              <w:right w:val="single" w:color="C8922A" w:sz="1"/>
            </w:tcBorders>
            <w:shd w:fill="FDF3DC" w:val="clear"/>
            <w:tcMar>
              <w:top w:type="dxa" w:w="160"/>
              <w:left w:type="dxa" w:w="280"/>
              <w:bottom w:type="dxa" w:w="160"/>
              <w:right w:type="dxa" w:w="280"/>
            </w:tcMar>
          </w:tcPr>
          <w:p>
            <w:r>
              <w:rPr>
                <w:rFonts w:ascii="Arial" w:cs="Arial" w:eastAsia="Arial" w:hAnsi="Arial"/>
                <w:i/>
                <w:iCs/>
                <w:color w:val="1A1A1A"/>
                <w:sz w:val="22"/>
                <w:szCs w:val="22"/>
              </w:rPr>
              <w:t xml:space="preserve">Merchant transaction data and customer personal data will never be sold, licensed, or disclosed to third parties for commercial purposes without the explicit, documented consent of the data subject. Aggregate, anonymised market intelligence may be made available as a premium product, but the individual merchant or customer shall always remain the principal owner of their own data.</w:t>
            </w:r>
          </w:p>
        </w:tc>
      </w:tr>
    </w:tbl>
    <w:p>
      <w:pPr>
        <w:spacing w:before="80" w:after="0"/>
      </w:pPr>
      <w:r>
        <w:t xml:space="preserve"/>
      </w:r>
    </w:p>
    <w:p>
      <w:pPr>
        <w:spacing w:before="60" w:after="120"/>
      </w:pPr>
      <w:r>
        <w:rPr>
          <w:rFonts w:ascii="Arial" w:cs="Arial" w:eastAsia="Arial" w:hAnsi="Arial"/>
          <w:color w:val="1A1A1A"/>
          <w:sz w:val="22"/>
          <w:szCs w:val="22"/>
        </w:rPr>
        <w:t xml:space="preserve">Operationalisation: Data governance policy maintained and published. Data processing agreements in place with all technology sub-processors. Annual data audit. ICO registration maintained.</w:t>
      </w:r>
    </w:p>
    <w:p>
      <w:pPr>
        <w:spacing w:before="200" w:after="0"/>
      </w:pPr>
      <w:r>
        <w:t xml:space="preserve"/>
      </w:r>
    </w:p>
    <w:p>
      <w:pPr>
        <w:pStyle w:val="Heading1"/>
      </w:pPr>
      <w:r>
        <w:t xml:space="preserve">Covenant III — Price Transparency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C8922A" w:sz="1"/>
              <w:left w:val="single" w:color="C8922A" w:sz="1"/>
              <w:bottom w:val="single" w:color="C8922A" w:sz="1"/>
              <w:right w:val="single" w:color="C8922A" w:sz="1"/>
            </w:tcBorders>
            <w:shd w:fill="FDF3DC" w:val="clear"/>
            <w:tcMar>
              <w:top w:type="dxa" w:w="160"/>
              <w:left w:type="dxa" w:w="280"/>
              <w:bottom w:type="dxa" w:w="160"/>
              <w:right w:type="dxa" w:w="280"/>
            </w:tcMar>
          </w:tcPr>
          <w:p>
            <w:r>
              <w:rPr>
                <w:rFonts w:ascii="Arial" w:cs="Arial" w:eastAsia="Arial" w:hAnsi="Arial"/>
                <w:i/>
                <w:iCs/>
                <w:color w:val="1A1A1A"/>
                <w:sz w:val="22"/>
                <w:szCs w:val="22"/>
              </w:rPr>
              <w:t xml:space="preserve">Pricing changes will be communicated to all affected merchants with a minimum of 90 days' written notice before any price increase takes effect. Stealth pricing changes, retroactive charges, or the introduction of previously undisclosed fees are prohibited.</w:t>
            </w:r>
          </w:p>
        </w:tc>
      </w:tr>
    </w:tbl>
    <w:p>
      <w:pPr>
        <w:spacing w:before="80" w:after="0"/>
      </w:pPr>
      <w:r>
        <w:t xml:space="preserve"/>
      </w:r>
    </w:p>
    <w:p>
      <w:pPr>
        <w:spacing w:before="60" w:after="120"/>
      </w:pPr>
      <w:r>
        <w:rPr>
          <w:rFonts w:ascii="Arial" w:cs="Arial" w:eastAsia="Arial" w:hAnsi="Arial"/>
          <w:color w:val="1A1A1A"/>
          <w:sz w:val="22"/>
          <w:szCs w:val="22"/>
        </w:rPr>
        <w:t xml:space="preserve">Operationalisation: All pricing changes require board-level approval and a written merchant communication at 90-day minimum notice. The 90-day period may not be waived by contract or commercial pressure.</w:t>
      </w:r>
    </w:p>
    <w:p>
      <w:pPr>
        <w:spacing w:before="200" w:after="0"/>
      </w:pPr>
      <w:r>
        <w:t xml:space="preserve"/>
      </w:r>
    </w:p>
    <w:p>
      <w:pPr>
        <w:pStyle w:val="Heading1"/>
      </w:pPr>
      <w:r>
        <w:t xml:space="preserve">Covenant IV — Early Adopter Honour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C8922A" w:sz="1"/>
              <w:left w:val="single" w:color="C8922A" w:sz="1"/>
              <w:bottom w:val="single" w:color="C8922A" w:sz="1"/>
              <w:right w:val="single" w:color="C8922A" w:sz="1"/>
            </w:tcBorders>
            <w:shd w:fill="FDF3DC" w:val="clear"/>
            <w:tcMar>
              <w:top w:type="dxa" w:w="160"/>
              <w:left w:type="dxa" w:w="280"/>
              <w:bottom w:type="dxa" w:w="160"/>
              <w:right w:type="dxa" w:w="280"/>
            </w:tcMar>
          </w:tcPr>
          <w:p>
            <w:r>
              <w:rPr>
                <w:rFonts w:ascii="Arial" w:cs="Arial" w:eastAsia="Arial" w:hAnsi="Arial"/>
                <w:i/>
                <w:iCs/>
                <w:color w:val="1A1A1A"/>
                <w:sz w:val="22"/>
                <w:szCs w:val="22"/>
              </w:rPr>
              <w:t xml:space="preserve">Early adopter pricing lock agreements will be honoured in full, without exception, for their stated term. The company will not seek to renegotiate, buyout, or otherwise circumvent early adopter pricing commitments, regardless of changes in market conditions or commercial pressure from investors.</w:t>
            </w:r>
          </w:p>
        </w:tc>
      </w:tr>
    </w:tbl>
    <w:p>
      <w:pPr>
        <w:spacing w:before="80" w:after="0"/>
      </w:pPr>
      <w:r>
        <w:t xml:space="preserve"/>
      </w:r>
    </w:p>
    <w:p>
      <w:pPr>
        <w:spacing w:before="60" w:after="120"/>
      </w:pPr>
      <w:r>
        <w:rPr>
          <w:rFonts w:ascii="Arial" w:cs="Arial" w:eastAsia="Arial" w:hAnsi="Arial"/>
          <w:color w:val="1A1A1A"/>
          <w:sz w:val="22"/>
          <w:szCs w:val="22"/>
        </w:rPr>
        <w:t xml:space="preserve">Operationalisation: Lock-in agreements maintained in a dedicated register. Any investor term sheet that would require the company to breach this Covenant requires merchant advisory board review.</w:t>
      </w:r>
    </w:p>
    <w:p>
      <w:pPr>
        <w:spacing w:before="200" w:after="0"/>
      </w:pPr>
      <w:r>
        <w:t xml:space="preserve"/>
      </w:r>
    </w:p>
    <w:p>
      <w:pPr>
        <w:pStyle w:val="Heading1"/>
      </w:pPr>
      <w:r>
        <w:t xml:space="preserve">Covenant V — Community Accountability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C8922A" w:sz="1"/>
              <w:left w:val="single" w:color="C8922A" w:sz="1"/>
              <w:bottom w:val="single" w:color="C8922A" w:sz="1"/>
              <w:right w:val="single" w:color="C8922A" w:sz="1"/>
            </w:tcBorders>
            <w:shd w:fill="FDF3DC" w:val="clear"/>
            <w:tcMar>
              <w:top w:type="dxa" w:w="160"/>
              <w:left w:type="dxa" w:w="280"/>
              <w:bottom w:type="dxa" w:w="160"/>
              <w:right w:type="dxa" w:w="280"/>
            </w:tcMar>
          </w:tcPr>
          <w:p>
            <w:r>
              <w:rPr>
                <w:rFonts w:ascii="Arial" w:cs="Arial" w:eastAsia="Arial" w:hAnsi="Arial"/>
                <w:i/>
                <w:iCs/>
                <w:color w:val="1A1A1A"/>
                <w:sz w:val="22"/>
                <w:szCs w:val="22"/>
              </w:rPr>
              <w:t xml:space="preserve">Rewardz will publish an annual Community Impact Report documenting the measurable contribution of the platform to the independent merchant sector: transaction volume, merchant count by category, estimated revenue generated for independent businesses, and qualitative case studies from participating merchants and customers.</w:t>
            </w:r>
          </w:p>
        </w:tc>
      </w:tr>
    </w:tbl>
    <w:p>
      <w:pPr>
        <w:spacing w:before="80" w:after="0"/>
      </w:pPr>
      <w:r>
        <w:t xml:space="preserve"/>
      </w:r>
    </w:p>
    <w:p>
      <w:pPr>
        <w:spacing w:before="60" w:after="120"/>
      </w:pPr>
      <w:r>
        <w:rPr>
          <w:rFonts w:ascii="Arial" w:cs="Arial" w:eastAsia="Arial" w:hAnsi="Arial"/>
          <w:color w:val="1A1A1A"/>
          <w:sz w:val="22"/>
          <w:szCs w:val="22"/>
        </w:rPr>
        <w:t xml:space="preserve">Operationalisation: Impact report published by 31st March each year for the preceding financial year, commencing with the first full year of operation.</w:t>
      </w:r>
    </w:p>
    <w:p>
      <w:pPr>
        <w:spacing w:before="200" w:after="0"/>
      </w:pPr>
      <w:r>
        <w:t xml:space="preserve"/>
      </w:r>
    </w:p>
    <w:p>
      <w:pPr>
        <w:pStyle w:val="Heading1"/>
      </w:pPr>
      <w:r>
        <w:t xml:space="preserve">Covenant VI — Merchant Voice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C8922A" w:sz="1"/>
              <w:left w:val="single" w:color="C8922A" w:sz="1"/>
              <w:bottom w:val="single" w:color="C8922A" w:sz="1"/>
              <w:right w:val="single" w:color="C8922A" w:sz="1"/>
            </w:tcBorders>
            <w:shd w:fill="FDF3DC" w:val="clear"/>
            <w:tcMar>
              <w:top w:type="dxa" w:w="160"/>
              <w:left w:type="dxa" w:w="280"/>
              <w:bottom w:type="dxa" w:w="160"/>
              <w:right w:type="dxa" w:w="280"/>
            </w:tcMar>
          </w:tcPr>
          <w:p>
            <w:r>
              <w:rPr>
                <w:rFonts w:ascii="Arial" w:cs="Arial" w:eastAsia="Arial" w:hAnsi="Arial"/>
                <w:i/>
                <w:iCs/>
                <w:color w:val="1A1A1A"/>
                <w:sz w:val="22"/>
                <w:szCs w:val="22"/>
              </w:rPr>
              <w:t xml:space="preserve">Governance will include formal representation of the merchant community at board or advisory board level. Decisions materially affecting merchant terms, data use, or product direction will be subject to consultation with the Merchant Advisory Board before implementation.</w:t>
            </w:r>
          </w:p>
        </w:tc>
      </w:tr>
    </w:tbl>
    <w:p>
      <w:pPr>
        <w:spacing w:before="80" w:after="0"/>
      </w:pPr>
      <w:r>
        <w:t xml:space="preserve"/>
      </w:r>
    </w:p>
    <w:p>
      <w:pPr>
        <w:spacing w:before="60" w:after="120"/>
      </w:pPr>
      <w:r>
        <w:rPr>
          <w:rFonts w:ascii="Arial" w:cs="Arial" w:eastAsia="Arial" w:hAnsi="Arial"/>
          <w:color w:val="1A1A1A"/>
          <w:sz w:val="22"/>
          <w:szCs w:val="22"/>
        </w:rPr>
        <w:t xml:space="preserve">Operationalisation: Merchant Advisory Board constituted within 12 months of platform launch. Minimum three merchant representatives. Quorum required for decisions within scope. Advisory Board charter published.</w:t>
      </w:r>
    </w:p>
    <w:p>
      <w:pPr>
        <w:spacing w:before="200" w:after="0"/>
      </w:pPr>
      <w:r>
        <w:t xml:space="preserve"/>
      </w:r>
    </w:p>
    <w:p>
      <w:pPr>
        <w:pStyle w:val="Heading1"/>
      </w:pPr>
      <w:r>
        <w:t xml:space="preserve">Covenant VII — Investor Alignment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C8922A" w:sz="1"/>
              <w:left w:val="single" w:color="C8922A" w:sz="1"/>
              <w:bottom w:val="single" w:color="C8922A" w:sz="1"/>
              <w:right w:val="single" w:color="C8922A" w:sz="1"/>
            </w:tcBorders>
            <w:shd w:fill="FDF3DC" w:val="clear"/>
            <w:tcMar>
              <w:top w:type="dxa" w:w="160"/>
              <w:left w:type="dxa" w:w="280"/>
              <w:bottom w:type="dxa" w:w="160"/>
              <w:right w:type="dxa" w:w="280"/>
            </w:tcMar>
          </w:tcPr>
          <w:p>
            <w:r>
              <w:rPr>
                <w:rFonts w:ascii="Arial" w:cs="Arial" w:eastAsia="Arial" w:hAnsi="Arial"/>
                <w:i/>
                <w:iCs/>
                <w:color w:val="1A1A1A"/>
                <w:sz w:val="22"/>
                <w:szCs w:val="22"/>
              </w:rPr>
              <w:t xml:space="preserve">The company will not accept investment from entities whose commercial interests materially conflict with the independent merchant community — including major retail chains, franchise operators, and data brokers whose business model is predicated on the consolidation or displacement of independent commerce.</w:t>
            </w:r>
          </w:p>
        </w:tc>
      </w:tr>
    </w:tbl>
    <w:p>
      <w:pPr>
        <w:spacing w:before="80" w:after="0"/>
      </w:pPr>
      <w:r>
        <w:t xml:space="preserve"/>
      </w:r>
    </w:p>
    <w:p>
      <w:pPr>
        <w:spacing w:before="60" w:after="120"/>
      </w:pPr>
      <w:r>
        <w:rPr>
          <w:rFonts w:ascii="Arial" w:cs="Arial" w:eastAsia="Arial" w:hAnsi="Arial"/>
          <w:color w:val="1A1A1A"/>
          <w:sz w:val="22"/>
          <w:szCs w:val="22"/>
        </w:rPr>
        <w:t xml:space="preserve">Operationalisation: Investor due diligence checklist includes conflict-of-interest assessment. Any proposed investor with a material conflict requires Merchant Advisory Board review and a two-thirds majority board vote. This Covenant may not be waived by investor pressure.</w:t>
      </w:r>
    </w:p>
    <w:p>
      <w:pPr>
        <w:spacing w:before="240" w:after="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1A3C5E" w:sz="1"/>
              <w:left w:val="single" w:color="1A3C5E" w:sz="1"/>
              <w:bottom w:val="single" w:color="1A3C5E" w:sz="1"/>
              <w:right w:val="single" w:color="1A3C5E" w:sz="1"/>
            </w:tcBorders>
            <w:shd w:fill="D5E8F5" w:val="clear"/>
            <w:tcMar>
              <w:top w:type="dxa" w:w="200"/>
              <w:left w:type="dxa" w:w="300"/>
              <w:bottom w:type="dxa" w:w="200"/>
              <w:right w:type="dxa" w:w="300"/>
            </w:tcMar>
          </w:tcPr>
          <w:p>
            <w:pPr>
              <w:spacing w:after="80"/>
              <w:jc w:val="center"/>
            </w:pPr>
            <w:r>
              <w:rPr>
                <w:rFonts w:ascii="Arial" w:cs="Arial" w:eastAsia="Arial" w:hAnsi="Arial"/>
                <w:b/>
                <w:bCs/>
                <w:color w:val="1A3C5E"/>
                <w:sz w:val="24"/>
                <w:szCs w:val="24"/>
              </w:rPr>
              <w:t xml:space="preserve">These Covenants are a pledge, not a policy.</w:t>
            </w:r>
          </w:p>
          <w:p>
            <w:pPr>
              <w:jc w:val="center"/>
            </w:pPr>
            <w:r>
              <w:rPr>
                <w:rFonts w:ascii="Arial" w:cs="Arial" w:eastAsia="Arial" w:hAnsi="Arial"/>
                <w:i/>
                <w:iCs/>
                <w:color w:val="1A1A1A"/>
                <w:sz w:val="22"/>
                <w:szCs w:val="22"/>
              </w:rPr>
              <w:t xml:space="preserve">A policy can be changed by a board resolution. A pledge is a commitment to every merchant who chose to trust this platform before it was proven, to every customer who chose to spend their loyalty here, and to the communities that depend on independent commerce to survive.</w:t>
            </w:r>
          </w:p>
        </w:tc>
      </w:tr>
    </w:tbl>
    <w:sectPr>
      <w:headerReference w:type="default" r:id="rId6"/>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00" w:after="0"/>
      <w:jc w:val="center"/>
    </w:pPr>
    <w:r>
      <w:rPr>
        <w:rFonts w:ascii="Arial" w:cs="Arial" w:eastAsia="Arial" w:hAnsi="Arial"/>
        <w:color w:val="CCCCCC"/>
        <w:sz w:val="16"/>
        <w:szCs w:val="16"/>
      </w:rPr>
      <w:t xml:space="preserve">Rewardz Ltd (Concept)  |  Confidential — Not for Distribution  |  March 2026  |  Page </w:t>
    </w:r>
    <w:r>
      <w:rPr>
        <w:rFonts w:ascii="Arial" w:cs="Arial" w:eastAsia="Arial" w:hAnsi="Arial"/>
        <w:color w:val="CCCCCC"/>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4" w:space="4"/>
      </w:pBdr>
      <w:spacing w:before="0" w:after="120"/>
      <w:jc w:val="right"/>
    </w:pPr>
    <w:r>
      <w:rPr>
        <w:rFonts w:ascii="Arial" w:cs="Arial" w:eastAsia="Arial" w:hAnsi="Arial"/>
        <w:color w:val="CCCCCC"/>
        <w:sz w:val="18"/>
        <w:szCs w:val="18"/>
      </w:rPr>
      <w:t xml:space="preserve">REWARDZ — CONFIDENTIAL  |  </w:t>
    </w:r>
    <w:r>
      <w:rPr>
        <w:rFonts w:ascii="Arial" w:cs="Arial" w:eastAsia="Arial" w:hAnsi="Arial"/>
        <w:b/>
        <w:bCs/>
        <w:color w:val="1A3C5E"/>
        <w:sz w:val="18"/>
        <w:szCs w:val="18"/>
      </w:rPr>
      <w:t xml:space="preserve">Ethical Covenants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5E"/>
      <w:sz w:val="36"/>
      <w:szCs w:val="36"/>
    </w:rPr>
  </w:style>
  <w:style w:type="paragraph" w:styleId="Heading2">
    <w:name w:val="Heading 2"/>
    <w:basedOn w:val="Normal"/>
    <w:next w:val="Normal"/>
    <w:qFormat/>
    <w:pPr>
      <w:pBdr>
        <w:bottom w:val="single" w:color="C8922A" w:sz="4" w:space="4"/>
      </w:pBdr>
      <w:spacing w:before="280" w:after="12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2026-03-20T02:20:56.319Z</dcterms:created>
  <dcterms:modified xsi:type="dcterms:W3CDTF">2026-03-20T02:20:56.319Z</dcterms:modified>
</cp:coreProperties>
</file>

<file path=docProps/custom.xml><?xml version="1.0" encoding="utf-8"?>
<Properties xmlns="http://schemas.openxmlformats.org/officeDocument/2006/custom-properties" xmlns:vt="http://schemas.openxmlformats.org/officeDocument/2006/docPropsVTypes"/>
</file>