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1A3C5E" w:val="clear"/>
            <w:tcMar>
              <w:top w:type="dxa" w:w="400"/>
              <w:left w:type="dxa" w:w="560"/>
              <w:bottom w:type="dxa" w:w="400"/>
              <w:right w:type="dxa" w:w="560"/>
            </w:tcMar>
          </w:tcPr>
          <w:p>
            <w:pPr>
              <w:spacing w:after="100"/>
              <w:jc w:val="center"/>
            </w:pPr>
            <w:r>
              <w:rPr>
                <w:rFonts w:ascii="Arial" w:cs="Arial" w:eastAsia="Arial" w:hAnsi="Arial"/>
                <w:b/>
                <w:bCs/>
                <w:color w:val="C8922A"/>
                <w:sz w:val="64"/>
                <w:szCs w:val="64"/>
              </w:rPr>
              <w:t xml:space="preserve">REWARDZ</w:t>
            </w:r>
          </w:p>
          <w:p>
            <w:pPr>
              <w:jc w:val="center"/>
            </w:pPr>
            <w:r>
              <w:rPr>
                <w:rFonts w:ascii="Arial" w:cs="Arial" w:eastAsia="Arial" w:hAnsi="Arial"/>
                <w:color w:val="DDDDDD"/>
                <w:sz w:val="24"/>
                <w:szCs w:val="24"/>
              </w:rPr>
              <w:t xml:space="preserve">GO-TO-MARKET &amp; GROWTH STRATEGY</w:t>
            </w:r>
          </w:p>
        </w:tc>
      </w:tr>
    </w:tbl>
    <w:p>
      <w:pPr>
        <w:spacing w:before="240" w:after="0"/>
      </w:pPr>
      <w:r>
        <w:t xml:space="preserve"/>
      </w:r>
    </w:p>
    <w:p>
      <w:pPr>
        <w:pStyle w:val="Heading1"/>
      </w:pPr>
      <w:r>
        <w:t xml:space="preserve">1. Strategic Framework</w:t>
      </w:r>
    </w:p>
    <w:p>
      <w:pPr>
        <w:spacing w:before="60" w:after="120"/>
      </w:pPr>
      <w:r>
        <w:rPr>
          <w:rFonts w:ascii="Arial" w:cs="Arial" w:eastAsia="Arial" w:hAnsi="Arial"/>
          <w:color w:val="1A1A1A"/>
          <w:sz w:val="22"/>
          <w:szCs w:val="22"/>
        </w:rPr>
        <w:t xml:space="preserve">The go-to-market strategy for Rewardz is informed by Sun Tzu's principle of winning the battle before it is fought — establishing an installed base, data advantage, and customer habit before any well-capitalised competitor can replicate the model. AI-assisted competition has compressed first-mover advantage windows from years to approximately six months. Every stage of execution must therefore be validated and documented in real time to accelerate the fundraising and scaling narrative.</w:t>
      </w:r>
    </w:p>
    <w:p>
      <w:pPr>
        <w:spacing w:before="60" w:after="120"/>
      </w:pPr>
      <w:r>
        <w:rPr>
          <w:rFonts w:ascii="Arial" w:cs="Arial" w:eastAsia="Arial" w:hAnsi="Arial"/>
          <w:color w:val="1A1A1A"/>
          <w:sz w:val="22"/>
          <w:szCs w:val="22"/>
        </w:rPr>
        <w:t xml:space="preserve">The strategy operates on three simultaneous tracks: Proof (validate the model with real transactions), Signal (build the investor and market narrative while building the product), and Optionality (design the architecture to be horizontal from day one, enabling rapid pivot across verticals and geographies).</w:t>
      </w:r>
    </w:p>
    <w:p>
      <w:pPr>
        <w:spacing w:before="200" w:after="0"/>
      </w:pPr>
      <w:r>
        <w:t xml:space="preserve"/>
      </w:r>
    </w:p>
    <w:p>
      <w:pPr>
        <w:pStyle w:val="Heading1"/>
      </w:pPr>
      <w:r>
        <w:t xml:space="preserve">2. Phase 1 — Beachhead (Months 0–6)</w:t>
      </w:r>
    </w:p>
    <w:p>
      <w:pPr>
        <w:pStyle w:val="Heading2"/>
      </w:pPr>
      <w:r>
        <w:t xml:space="preserve">Target Geography: East Sussex Coastal Towns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Bexhill-on-Sea</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identified independent coffee shops and cafés; lower competition density; manageable cold-start.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Hastings / St Leonards</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identified independent venues; creative economy; higher footfall; tourist seasonal uplift.</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Eastbourne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identified independent venues; larger residential base; commuter demographic.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Total Beachhead</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~27–40 independent venues; estimated 800+ potential active users at base adoption rates.</w:t>
            </w:r>
          </w:p>
        </w:tc>
      </w:tr>
    </w:tbl>
    <w:p>
      <w:pPr>
        <w:spacing w:before="80" w:after="0"/>
      </w:pPr>
      <w:r>
        <w:t xml:space="preserve"/>
      </w:r>
    </w:p>
    <w:p>
      <w:pPr>
        <w:pStyle w:val="Heading2"/>
      </w:pPr>
      <w:r>
        <w:t xml:space="preserve">Phase 1 Objectives</w:t>
      </w:r>
    </w:p>
    <w:p>
      <w:pPr>
        <w:pStyle w:val="ListParagraph"/>
        <w:numPr>
          <w:ilvl w:val="0"/>
          <w:numId w:val="2"/>
        </w:numPr>
        <w:spacing w:before="40" w:after="60"/>
      </w:pPr>
      <w:r>
        <w:rPr>
          <w:rFonts w:ascii="Arial" w:cs="Arial" w:eastAsia="Arial" w:hAnsi="Arial"/>
          <w:color w:val="1A1A1A"/>
          <w:sz w:val="22"/>
          <w:szCs w:val="22"/>
        </w:rPr>
        <w:t xml:space="preserve">Sign minimum 20 merchant agreements before platform launch.</w:t>
      </w:r>
    </w:p>
    <w:p>
      <w:pPr>
        <w:pStyle w:val="ListParagraph"/>
        <w:numPr>
          <w:ilvl w:val="0"/>
          <w:numId w:val="2"/>
        </w:numPr>
        <w:spacing w:before="40" w:after="60"/>
      </w:pPr>
      <w:r>
        <w:rPr>
          <w:rFonts w:ascii="Arial" w:cs="Arial" w:eastAsia="Arial" w:hAnsi="Arial"/>
          <w:color w:val="1A1A1A"/>
          <w:sz w:val="22"/>
          <w:szCs w:val="22"/>
        </w:rPr>
        <w:t xml:space="preserve">Achieve 400 active app users within 90 days of launch.</w:t>
      </w:r>
    </w:p>
    <w:p>
      <w:pPr>
        <w:pStyle w:val="ListParagraph"/>
        <w:numPr>
          <w:ilvl w:val="0"/>
          <w:numId w:val="2"/>
        </w:numPr>
        <w:spacing w:before="40" w:after="60"/>
      </w:pPr>
      <w:r>
        <w:rPr>
          <w:rFonts w:ascii="Arial" w:cs="Arial" w:eastAsia="Arial" w:hAnsi="Arial"/>
          <w:color w:val="1A1A1A"/>
          <w:sz w:val="22"/>
          <w:szCs w:val="22"/>
        </w:rPr>
        <w:t xml:space="preserve">Generate minimum 800 weekly scans.</w:t>
      </w:r>
    </w:p>
    <w:p>
      <w:pPr>
        <w:pStyle w:val="ListParagraph"/>
        <w:numPr>
          <w:ilvl w:val="0"/>
          <w:numId w:val="2"/>
        </w:numPr>
        <w:spacing w:before="40" w:after="60"/>
      </w:pPr>
      <w:r>
        <w:rPr>
          <w:rFonts w:ascii="Arial" w:cs="Arial" w:eastAsia="Arial" w:hAnsi="Arial"/>
          <w:color w:val="1A1A1A"/>
          <w:sz w:val="22"/>
          <w:szCs w:val="22"/>
        </w:rPr>
        <w:t xml:space="preserve">Validate unit economics model against real transaction data.</w:t>
      </w:r>
    </w:p>
    <w:p>
      <w:pPr>
        <w:pStyle w:val="ListParagraph"/>
        <w:numPr>
          <w:ilvl w:val="0"/>
          <w:numId w:val="2"/>
        </w:numPr>
        <w:spacing w:before="40" w:after="60"/>
      </w:pPr>
      <w:r>
        <w:rPr>
          <w:rFonts w:ascii="Arial" w:cs="Arial" w:eastAsia="Arial" w:hAnsi="Arial"/>
          <w:color w:val="1A1A1A"/>
          <w:sz w:val="22"/>
          <w:szCs w:val="22"/>
        </w:rPr>
        <w:t xml:space="preserve">Document merchant satisfaction and product feedback for investor narrative.</w:t>
      </w:r>
    </w:p>
    <w:p>
      <w:pPr>
        <w:spacing w:before="80" w:after="0"/>
      </w:pPr>
      <w:r>
        <w:t xml:space="preserve"/>
      </w:r>
    </w:p>
    <w:p>
      <w:pPr>
        <w:pStyle w:val="Heading2"/>
      </w:pPr>
      <w:r>
        <w:t xml:space="preserve">Phase 1 Merchant Acquisition Approach</w:t>
      </w:r>
    </w:p>
    <w:p>
      <w:pPr>
        <w:pStyle w:val="ListParagraph"/>
        <w:numPr>
          <w:ilvl w:val="0"/>
          <w:numId w:val="3"/>
        </w:numPr>
        <w:spacing w:before="40" w:after="60"/>
      </w:pPr>
      <w:r>
        <w:rPr>
          <w:rFonts w:ascii="Arial" w:cs="Arial" w:eastAsia="Arial" w:hAnsi="Arial"/>
          <w:sz w:val="22"/>
          <w:szCs w:val="22"/>
        </w:rPr>
        <w:t xml:space="preserve">Direct founder outreach to identified independent venues — warm, face-to-face introductions, not cold calling. Business owners respond to personal contact from founders.</w:t>
      </w:r>
    </w:p>
    <w:p>
      <w:pPr>
        <w:pStyle w:val="ListParagraph"/>
        <w:numPr>
          <w:ilvl w:val="0"/>
          <w:numId w:val="3"/>
        </w:numPr>
        <w:spacing w:before="40" w:after="60"/>
      </w:pPr>
      <w:r>
        <w:rPr>
          <w:rFonts w:ascii="Arial" w:cs="Arial" w:eastAsia="Arial" w:hAnsi="Arial"/>
          <w:sz w:val="22"/>
          <w:szCs w:val="22"/>
        </w:rPr>
        <w:t xml:space="preserve">Early adopter pricing offer: 1–3 year lock-in at launch rate — creates urgency and FOMO without discounting the core product.</w:t>
      </w:r>
    </w:p>
    <w:p>
      <w:pPr>
        <w:pStyle w:val="ListParagraph"/>
        <w:numPr>
          <w:ilvl w:val="0"/>
          <w:numId w:val="3"/>
        </w:numPr>
        <w:spacing w:before="40" w:after="60"/>
      </w:pPr>
      <w:r>
        <w:rPr>
          <w:rFonts w:ascii="Arial" w:cs="Arial" w:eastAsia="Arial" w:hAnsi="Arial"/>
          <w:sz w:val="22"/>
          <w:szCs w:val="22"/>
        </w:rPr>
        <w:t xml:space="preserve">Onboarding pack: personalised financial case for each merchant, staff briefing card, window QR display kit, 30-day checklist. Every element answers the merchant's implicit question: is this worth the hassle?</w:t>
      </w:r>
    </w:p>
    <w:p>
      <w:pPr>
        <w:pStyle w:val="ListParagraph"/>
        <w:numPr>
          <w:ilvl w:val="0"/>
          <w:numId w:val="3"/>
        </w:numPr>
        <w:spacing w:before="40" w:after="60"/>
      </w:pPr>
      <w:r>
        <w:rPr>
          <w:rFonts w:ascii="Arial" w:cs="Arial" w:eastAsia="Arial" w:hAnsi="Arial"/>
          <w:sz w:val="22"/>
          <w:szCs w:val="22"/>
        </w:rPr>
        <w:t xml:space="preserve">BID partnership scoping: engage Bexhill and Hastings Business Improvement Districts for endorsement — not dependency, but credibility.</w:t>
      </w:r>
    </w:p>
    <w:p>
      <w:pPr>
        <w:spacing w:before="200" w:after="0"/>
      </w:pPr>
      <w:r>
        <w:t xml:space="preserve"/>
      </w:r>
    </w:p>
    <w:p>
      <w:pPr>
        <w:pStyle w:val="Heading1"/>
      </w:pPr>
      <w:r>
        <w:t xml:space="preserve">3. Phase 2 — Regional Expansion (Months 7–18)</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Target</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 merchants across Sussex and Kent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Cities</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Brighton, Tunbridge Wells, Folkestone, Canterbury, Maidstone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Revenue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~£330,000 annual gross; ~£85,000 platform margin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Team req.</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Dedicated Merchant Acquisition Director; 2–3 field representatives; CX support</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A3C5E"/>
                <w:sz w:val="20"/>
                <w:szCs w:val="20"/>
              </w:rPr>
              <w:t xml:space="preserve">Investor</w:t>
            </w:r>
          </w:p>
        </w:tc>
        <w:tc>
          <w:tcPr>
            <w:tcW w:type="dxa" w:w="6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 round closes or is in progress by end of Phase 2</w:t>
            </w:r>
          </w:p>
        </w:tc>
      </w:tr>
    </w:tbl>
    <w:p>
      <w:pPr>
        <w:spacing w:before="200" w:after="0"/>
      </w:pPr>
      <w:r>
        <w:t xml:space="preserve"/>
      </w:r>
    </w:p>
    <w:p>
      <w:pPr>
        <w:pStyle w:val="Heading1"/>
      </w:pPr>
      <w:r>
        <w:t xml:space="preserve">4. Phase 3 &amp; 4 — National and International Scale</w:t>
      </w:r>
    </w:p>
    <w:p>
      <w:pPr>
        <w:spacing w:before="60" w:after="120"/>
      </w:pPr>
      <w:r>
        <w:rPr>
          <w:rFonts w:ascii="Arial" w:cs="Arial" w:eastAsia="Arial" w:hAnsi="Arial"/>
          <w:color w:val="1A1A1A"/>
          <w:sz w:val="22"/>
          <w:szCs w:val="22"/>
        </w:rPr>
        <w:t xml:space="preserve">Phase 3 targets major UK cities (London, Manchester, Edinburgh, Bristol) at approximately 2,000 merchants and an annual gross of ~£2.7M. Phase 4 achieves national saturation at approximately 13,000 merchants — representing roughly 50% penetration of the estimated independent café, restaurant, and service sector — at an estimated gross of ~£25.4M annually.</w:t>
      </w:r>
    </w:p>
    <w:p>
      <w:pPr>
        <w:spacing w:before="80" w:after="0"/>
      </w:pPr>
      <w:r>
        <w:t xml:space="preserve"/>
      </w:r>
    </w:p>
    <w:p>
      <w:pPr>
        <w:pStyle w:val="Heading2"/>
      </w:pPr>
      <w:r>
        <w:t xml:space="preserve">International Entry: US and China (Month 6 Target)</w:t>
      </w:r>
    </w:p>
    <w:p>
      <w:pPr>
        <w:spacing w:before="60" w:after="120"/>
      </w:pPr>
      <w:r>
        <w:rPr>
          <w:rFonts w:ascii="Arial" w:cs="Arial" w:eastAsia="Arial" w:hAnsi="Arial"/>
          <w:color w:val="1A1A1A"/>
          <w:sz w:val="22"/>
          <w:szCs w:val="22"/>
        </w:rPr>
        <w:t xml:space="preserve">The founders have identified US and China market entry by Month 6 as a strategic imperative — not an aspiration. The rationale is that a UK-only platform is replicable; a platform with simultaneous proof of international applicability is not. The following approach is proposed:</w:t>
      </w:r>
    </w:p>
    <w:p>
      <w:pPr>
        <w:spacing w:before="8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386"/>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Market</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Entry Strategy</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Requirement</w:t>
            </w:r>
          </w:p>
        </w:tc>
        <w:tc>
          <w:tcPr>
            <w:tcW w:type="dxa" w:w="238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United States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Identify a dense, independent-merchant-rich US city (Brooklyn, Portland, Austin) for a parallel pilot. Partner with a US-based independent business association for merchant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 legal entity; Stripe US configuration; local operational contact.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Slower than UK due to legal and operational setup.</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China</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Identify local operating partner or distributor from Day 0. WeChat Pay and Alipay integration mandatory — no QR-only model in China without these rails. Local entity structure (WFOE or JV) required.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China local partner identified before Month 3 — even if dormant. This is the alliance-building phase.</w:t>
            </w:r>
          </w:p>
        </w:tc>
        <w:tc>
          <w:tcPr>
            <w:tcW w:type="dxa" w:w="23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Regulatory complexity; data localisation requirements; local competition from mature domestic platforms (Meituan etc.).</w:t>
            </w:r>
          </w:p>
        </w:tc>
      </w:tr>
    </w:tbl>
    <w:p>
      <w:pPr>
        <w:spacing w:before="200" w:after="0"/>
      </w:pPr>
      <w:r>
        <w:t xml:space="preserve"/>
      </w:r>
    </w:p>
    <w:p>
      <w:pPr>
        <w:pStyle w:val="Heading1"/>
      </w:pPr>
      <w:r>
        <w:t xml:space="preserve">5. Cold Start Strategy</w:t>
      </w:r>
    </w:p>
    <w:p>
      <w:pPr>
        <w:spacing w:before="60" w:after="120"/>
      </w:pPr>
      <w:r>
        <w:rPr>
          <w:rFonts w:ascii="Arial" w:cs="Arial" w:eastAsia="Arial" w:hAnsi="Arial"/>
          <w:color w:val="1A1A1A"/>
          <w:sz w:val="22"/>
          <w:szCs w:val="22"/>
        </w:rPr>
        <w:t xml:space="preserve">The cold start problem — the chicken-and-egg of needing customers to attract merchants and merchants to attract customers — is a well-documented challenge for marketplace and network businesses. The Rewardz cold start strategy is as follows:</w:t>
      </w:r>
    </w:p>
    <w:p>
      <w:pPr>
        <w:spacing w:before="80" w:after="0"/>
      </w:pPr>
      <w:r>
        <w:t xml:space="preserve"/>
      </w:r>
    </w:p>
    <w:p>
      <w:pPr>
        <w:pStyle w:val="ListParagraph"/>
        <w:numPr>
          <w:ilvl w:val="0"/>
          <w:numId w:val="2"/>
        </w:numPr>
        <w:spacing w:before="40" w:after="60"/>
      </w:pPr>
      <w:r>
        <w:rPr>
          <w:rFonts w:ascii="Arial" w:cs="Arial" w:eastAsia="Arial" w:hAnsi="Arial"/>
          <w:color w:val="1A1A1A"/>
          <w:sz w:val="22"/>
          <w:szCs w:val="22"/>
        </w:rPr>
        <w:t xml:space="preserve">Launch with a minimum of 20 committed merchants before the app goes live to any customer. A launch with 5 merchants is not a launch — it is a test.</w:t>
      </w:r>
    </w:p>
    <w:p>
      <w:pPr>
        <w:pStyle w:val="ListParagraph"/>
        <w:numPr>
          <w:ilvl w:val="0"/>
          <w:numId w:val="2"/>
        </w:numPr>
        <w:spacing w:before="40" w:after="60"/>
      </w:pPr>
      <w:r>
        <w:rPr>
          <w:rFonts w:ascii="Arial" w:cs="Arial" w:eastAsia="Arial" w:hAnsi="Arial"/>
          <w:color w:val="1A1A1A"/>
          <w:sz w:val="22"/>
          <w:szCs w:val="22"/>
        </w:rPr>
        <w:t xml:space="preserve">Offer a 90-day free period to founding merchants — they bear zero cost until the platform reaches 200 active users in their town.</w:t>
      </w:r>
    </w:p>
    <w:p>
      <w:pPr>
        <w:pStyle w:val="ListParagraph"/>
        <w:numPr>
          <w:ilvl w:val="0"/>
          <w:numId w:val="2"/>
        </w:numPr>
        <w:spacing w:before="40" w:after="60"/>
      </w:pPr>
      <w:r>
        <w:rPr>
          <w:rFonts w:ascii="Arial" w:cs="Arial" w:eastAsia="Arial" w:hAnsi="Arial"/>
          <w:color w:val="1A1A1A"/>
          <w:sz w:val="22"/>
          <w:szCs w:val="22"/>
        </w:rPr>
        <w:t xml:space="preserve">Provide founder-led customer activation: attend coffee shops, explain the app to customers directly in the first 30 days.</w:t>
      </w:r>
    </w:p>
    <w:p>
      <w:pPr>
        <w:pStyle w:val="ListParagraph"/>
        <w:numPr>
          <w:ilvl w:val="0"/>
          <w:numId w:val="2"/>
        </w:numPr>
        <w:spacing w:before="40" w:after="60"/>
      </w:pPr>
      <w:r>
        <w:rPr>
          <w:rFonts w:ascii="Arial" w:cs="Arial" w:eastAsia="Arial" w:hAnsi="Arial"/>
          <w:color w:val="1A1A1A"/>
          <w:sz w:val="22"/>
          <w:szCs w:val="22"/>
        </w:rPr>
        <w:t xml:space="preserve">Social media activation: document the launch publicly, create the impression of momentum. Customers join networks they believe are growing.</w:t>
      </w:r>
    </w:p>
    <w:p>
      <w:pPr>
        <w:pStyle w:val="ListParagraph"/>
        <w:numPr>
          <w:ilvl w:val="0"/>
          <w:numId w:val="2"/>
        </w:numPr>
        <w:spacing w:before="40" w:after="60"/>
      </w:pPr>
      <w:r>
        <w:rPr>
          <w:rFonts w:ascii="Arial" w:cs="Arial" w:eastAsia="Arial" w:hAnsi="Arial"/>
          <w:color w:val="1A1A1A"/>
          <w:sz w:val="22"/>
          <w:szCs w:val="22"/>
        </w:rPr>
        <w:t xml:space="preserve">First-scan acquisition: make the first scan frictionless — browser deep-link, 30-second signup, stamp credited instantly. No barriers.</w:t>
      </w:r>
    </w:p>
    <w:p>
      <w:pPr>
        <w:spacing w:before="200" w:after="0"/>
      </w:pPr>
      <w:r>
        <w:t xml:space="preserve"/>
      </w:r>
    </w:p>
    <w:p>
      <w:pPr>
        <w:pStyle w:val="Heading1"/>
      </w:pPr>
      <w:r>
        <w:t xml:space="preserve">6. Art of War Strategic Principles</w:t>
      </w:r>
    </w:p>
    <w:p>
      <w:pPr>
        <w:spacing w:before="60" w:after="120"/>
      </w:pPr>
      <w:r>
        <w:rPr>
          <w:rFonts w:ascii="Arial" w:cs="Arial" w:eastAsia="Arial" w:hAnsi="Arial"/>
          <w:color w:val="1A1A1A"/>
          <w:sz w:val="22"/>
          <w:szCs w:val="22"/>
        </w:rPr>
        <w:t xml:space="preserve">The following Sun Tzu principles have been explicitly incorporated into the strategic thinking:</w:t>
      </w:r>
    </w:p>
    <w:p>
      <w:pPr>
        <w:spacing w:before="80" w:after="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600"/>
        <w:gridCol w:w="5786"/>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578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Application to Rewardz</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Speed is the essence of war</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6-month first-mover window; MVP shipped before the competition knows what we are building.</w:t>
            </w:r>
          </w:p>
        </w:tc>
      </w:tr>
      <w:tr>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Attack where they are not</w:t>
            </w:r>
          </w:p>
        </w:tc>
        <w:tc>
          <w:tcPr>
            <w:tcW w:type="dxa" w:w="5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Independent merchants are an uncontested market. Major loyalty platforms are not competing here — by the time they notice, the installed base is locked 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Victorious warriors win first, then go to war</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Prove unit economics in East Sussex before scaling. Do not scale a broken model.</w:t>
            </w:r>
          </w:p>
        </w:tc>
      </w:tr>
      <w:tr>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Know the enemy and know yourself</w:t>
            </w:r>
          </w:p>
        </w:tc>
        <w:tc>
          <w:tcPr>
            <w:tcW w:type="dxa" w:w="5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enemy is not other loyalty startups — it is inertia and the paper stamp card. Know why merchants have not changed and solve that specific resistance.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 allies before you need them</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China partner identification at Day 0. BID engagement before launch. Stripe relationship formalised before regulatory scrutiny.</w:t>
            </w:r>
          </w:p>
        </w:tc>
      </w:tr>
      <w:tr>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Appear weak where you are strong</w:t>
            </w:r>
          </w:p>
        </w:tc>
        <w:tc>
          <w:tcPr>
            <w:tcW w:type="dxa" w:w="5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 not announce international ambitions publicly until the beachhead is proven. Present as a local community platform.</w:t>
            </w:r>
          </w:p>
        </w:tc>
      </w:tr>
    </w:tbl>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after="0"/>
      <w:jc w:val="center"/>
    </w:pPr>
    <w:r>
      <w:rPr>
        <w:rFonts w:ascii="Arial" w:cs="Arial" w:eastAsia="Arial" w:hAnsi="Arial"/>
        <w:color w:val="CCCCCC"/>
        <w:sz w:val="16"/>
        <w:szCs w:val="16"/>
      </w:rPr>
      <w:t xml:space="preserve">Rewardz Ltd (Concept)  |  Confidential — Not for Distribution  |  March 2026  |  Page </w:t>
    </w:r>
    <w:r>
      <w:rPr>
        <w:rFonts w:ascii="Arial" w:cs="Arial" w:eastAsia="Arial" w:hAnsi="Arial"/>
        <w:color w:val="CCCCCC"/>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before="0" w:after="120"/>
      <w:jc w:val="right"/>
    </w:pPr>
    <w:r>
      <w:rPr>
        <w:rFonts w:ascii="Arial" w:cs="Arial" w:eastAsia="Arial" w:hAnsi="Arial"/>
        <w:color w:val="CCCCCC"/>
        <w:sz w:val="18"/>
        <w:szCs w:val="18"/>
      </w:rPr>
      <w:t xml:space="preserve">REWARDZ — CONFIDENTIAL  |  </w:t>
    </w:r>
    <w:r>
      <w:rPr>
        <w:rFonts w:ascii="Arial" w:cs="Arial" w:eastAsia="Arial" w:hAnsi="Arial"/>
        <w:b/>
        <w:bCs/>
        <w:color w:val="1A3C5E"/>
        <w:sz w:val="18"/>
        <w:szCs w:val="18"/>
      </w:rPr>
      <w:t xml:space="preserve">Go-to-Market &amp;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pBdr>
        <w:bottom w:val="single" w:color="C8922A" w:sz="4" w:space="4"/>
      </w:pBd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2026-03-20T02:20:56.083Z</dcterms:created>
  <dcterms:modified xsi:type="dcterms:W3CDTF">2026-03-20T02:20:56.083Z</dcterms:modified>
</cp:coreProperties>
</file>

<file path=docProps/custom.xml><?xml version="1.0" encoding="utf-8"?>
<Properties xmlns="http://schemas.openxmlformats.org/officeDocument/2006/custom-properties" xmlns:vt="http://schemas.openxmlformats.org/officeDocument/2006/docPropsVTypes"/>
</file>