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64"/>
                <w:szCs w:val="64"/>
              </w:rPr>
              <w:t xml:space="preserve">REWARDZ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FUNDING &amp; EQUITY STRUCTURE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F3D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Important Disclaimer: This document presents a proposed funding structure for discussion purposes only. It does not constitute a formal investment offer, prospectus, or legal advice. All valuations are founder-proposed and subject to negotiation. Seek independent legal and financial counsel before entering into any investment agreement.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1. Valuation Anchor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founders propose an implied post-money valuation of $100M from the initial funding round. This is an aggressive pre-product position, explicitly acknowledged as such.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justification for this position rests on four pillars: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addressable market: the independent merchant loyalty gap is a global problem affecting millions of businesses. Even a single-digit percentage of the UK independent hospitality market generates a substantial platform revenue base.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First-mover structural advantage: the 6-month window to establish an installed base of early-adopter merchants creates a network effect moat that is time-sensitive.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 model defensibility: the 1% fee structure is designed to be structurally untenable for incumbents to match — creating a durable price position.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 applicability: the platform architecture is designed for horizontal deployment across verticals and geographies. The UK coffee beachhead is the proof vehicle, not the market ceiling.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2. Round Structure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1200"/>
        <w:gridCol w:w="1600"/>
        <w:gridCol w:w="158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Cumul. Dilution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Post-Money Val.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Concept / MVP 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Live / Early 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$100M+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Series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+ China Entry /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~14%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$100–200M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Series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~20–25%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$250M+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 ownership remains above 75% through Series A — sufficient to maintain strategic control and board majority.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3. The Four Investor Protection Mechanisms</w:t>
      </w:r>
    </w:p>
    <w:p>
      <w:pPr>
        <w:pStyle w:val="Heading2"/>
      </w:pPr>
      <w:r>
        <w:t xml:space="preserve">3.1 Non-Renegotiation Clause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signed Letter of Intent (LOI) fixes valuation and material terms. Post-LOI attempts to re-trade trigger a contractual penalty — proposed as forfeiture of deal exclusivity or a 0.5% equity claw-back. This protects the founders from investor sandbagging after due diligence.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3.2 Overfund Buffer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round targets 1.5× the stated operational requirement. If the business requires $1M to reach the next milestone, the target raise is $1.5M. The excess 0.5× is held in a milestone reserve account, accessible only upon defined KPI achievement. This provides runway protection against cost overruns, market delays, and harder-than-expected subsequent raises.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cardinal rule: never arrive at a fundraise on fumes. Subsequent round conversations begin when the business has 6+ months of runway, not 6 weeks.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3.3 Milestone-Locked Tranches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Round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Tranche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Released at signing.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Tranche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Released upon Milestone A (e.g., MVP live; minimum 20 merchant agreements signed; minimum 400 active app users).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Tranche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Released upon Milestone B (e.g., first £X revenue; US or China operating agreement signed).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Milestone definitions are negotiated at signing and documented in the investment agreement. Ambiguous milestone definitions are not acceptable — each must be binary and independently verifiable.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3.4 Anti-Dilution Provision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founders propose offering early investors broad-based weighted average anti-dilution protection. This is the market-standard mechanism: it adjusts the investor's conversion price in the event of a down round, calculated on the weighted average of all shares outstanding. Full ratchet anti-dilution — which would be heavily investor-favourable — is not offered.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mechanism is designed to make investors comfortable with the $100M pre-product valuation anchor by providing downside protection, without creating a mechanism that would catastrophically dilute founders in an adverse scenario.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4. Use of Funds — Pre-seed Round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Allocation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$450,000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platform build: QR token service, merchant app, customer app, payment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$120,000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SPI registration, corporate structure, investor agreements, merchant contract templates.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Programme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7-workstream business viability research plan (£3,200–£7,500 base; budgeted with contingency).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(Founding)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$200,000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CTO, founding engineer(s), and part-time operational support for 12 months.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GTM &amp; Market 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Beachhead merchant acquisition, consumer app launch, BID partnerships, US/China preliminary scoping.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Overfund Buffer Reserve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$115,000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Milestone reserve account — not operational until Tranche 2 conditions met.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Total: $1,000,000. Note: Allocations are indicative and subject to revision upon detailed MVP scoping. Legal and development cost estimates are broad at concept stage.</w:t>
      </w:r>
    </w:p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 w:after="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Rewardz Ltd (Concept)  |  Confidential — Not for Distribution  |  March 2026  |  Page </w:t>
    </w:r>
    <w:r>
      <w:rPr>
        <w:rFonts w:ascii="Arial" w:cs="Arial" w:eastAsia="Arial" w:hAnsi="Arial"/>
        <w:color w:val="CCCCC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4"/>
      </w:pBdr>
      <w:spacing w:before="0"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REWARDZ — CONFIDENTIAL  |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Funding &amp; Equity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922A" w:sz="4" w:space="4"/>
      </w:pBdr>
      <w:spacing w:before="280" w:after="1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2026-03-20T02:20:56.107Z</dcterms:created>
  <dcterms:modified xsi:type="dcterms:W3CDTF">2026-03-20T02:20:56.107Z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