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400"/>
              <w:left w:type="dxa" w:w="560"/>
              <w:bottom w:type="dxa" w:w="400"/>
              <w:right w:type="dxa" w:w="56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C8922A"/>
                <w:sz w:val="64"/>
                <w:szCs w:val="64"/>
              </w:rPr>
              <w:t xml:space="preserve">REWARDZ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4"/>
                <w:szCs w:val="24"/>
              </w:rPr>
              <w:t xml:space="preserve">RISK REGISTER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</w:pPr>
      <w:r>
        <w:t xml:space="preserve">Risk Assessment Framework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8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Likelihood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= Unlikely; 2 = Possible; 3 = Probable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Impact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= Low; 2 = Significant; 3 = 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Risk Rating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Likelihood × Impact: 1–2 = Low; 3–4 = Medium; 6 = High; 9 = Critical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</w:pPr>
      <w:r>
        <w:t xml:space="preserve">1. Regulatory &amp; Legal Risks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400"/>
        <w:gridCol w:w="400"/>
        <w:gridCol w:w="1200"/>
        <w:gridCol w:w="378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FCA SPI registration rejected or delayed, preventing legal fund handling.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 HIGH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Engage specialist FCA counsel at Day 0. Stripe Connect routing reduces principal fund-holding exposure significantly. Assess Small Payment Institution vs Registered Account Information Service Person pathway.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GDPR breach through inadequate data handling architecture.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 HIGH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Privacy-by-design: PII classification on all customer data nodes at architecture level. Data minimisation policy. DPO appointed or contracted before launch.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Merchant agreement inadequacy — terms unenforceable or ambiguous on pooled liability.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MEDIUM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Standardised merchant agreement drafted by legal counsel. Covers: transaction fees, settlement terms, data usage, termination, early adopter lock-in mechanics.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Consumer credit / e-money regulation triggered by cash wallet model.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MEDIUM</w:t>
            </w:r>
          </w:p>
        </w:tc>
        <w:tc>
          <w:tcPr>
            <w:tcW w:type="dxa" w:w="3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Legal opinion commissioned on cash wallet classification. 0.001p nominal cash value mechanism used by all major UK loyalty platforms as legal protection — assess applicability.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</w:pPr>
      <w:r>
        <w:t xml:space="preserve">2. Technology &amp; Security Risks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400"/>
        <w:gridCol w:w="400"/>
        <w:gridCol w:w="1200"/>
        <w:gridCol w:w="398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QR code replay attack — customer presents previously scanned code to earn unauthorised stamps.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MEDIUM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Cryptographic QR cycling: 30-second HMAC-SHA256 time window + immediate post-scan server-side invalidation. Used token list maintained server-side.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BYOD merchant device loss — staff phone with authenticated merchant session falls into third-party hands.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MEDIUM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Session timeout (15-minute inactivity); remote session revocation via admin panel; transaction velocity alerts on merchant account; biometric lock requirement for merchant app.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Customer app spoofing — customer device mounts fake merchant scan responses to earn stamps fraudulently.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 HIGH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stamp earn events validated server-side against known merchant QR token state. Client app cannot self-grant stamps — all events are server-authorised.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Infrastructure outage — cloud provider downtime prevents merchant scanning.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MEDIUM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Multi-availability-zone deployment; offline grace mode (stamps queued locally, synced on reconnect with server-side deduplication); SLA monitoring.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key or credential compromise.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MEDIUM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Secrets management (Kubernetes secrets / Vault); no credentials in source code; automated credential rotation; penetration testing pre-launch.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</w:pPr>
      <w:r>
        <w:t xml:space="preserve">3. Commercial &amp; Market Risks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400"/>
        <w:gridCol w:w="400"/>
        <w:gridCol w:w="1200"/>
        <w:gridCol w:w="398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Merchant cold-start failure — insufficient merchants to create network value at launch.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 HIGH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Minimum 20 committed merchants before consumer app launch. Founder-led acquisition. 90-day free period for founding cohort reduces adoption risk.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Consumer adoption below viable threshold.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MEDIUM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Frictionless first-scan (browser deep-link, 30-second signup). Founder-led in-venue activation. Social proof campaign. Network effect value proposition ('earn everywhere').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Well-capitalised competitor enters market within 6 months.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 HIGH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First-mover speed strategy. Early adopter lock-ins prevent displacement. Merchant installed base is sticky — switching has operational cost. Data advantage compounds with time.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Unit economics validation failure — model does not perform as projected.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MEDIUM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15 Go/No-Go gate based on research programme. Minimum viable economics defined pre-research. Pivot optionality maintained: platform architecture is vertical-agnostic.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International expansion failure (US/China) by Month 6 target.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MEDIUM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International entry by Month 6 is aspiration with risk. Define minimum viable international presence — a signed partner agreement qualifies. Full operational entry may require Month 12+.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</w:pPr>
      <w:r>
        <w:t xml:space="preserve">4. Operational Risks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400"/>
        <w:gridCol w:w="400"/>
        <w:gridCol w:w="1200"/>
        <w:gridCol w:w="398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Key person dependency — platform critically exposed to individual founder departure.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 HIGH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Role documentation from Day 0. IP assignment agreements. Vesting schedule with cliff. Identify and recruit at least one additional technical co-founder before MVP build.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Merchant churn post-lock-in expiry.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MEDIUM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Build platform value that exceeds lock-in obligation. Analytics dashboard, promotional tools, and network value should make renewal the default decision.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Negative press / brand incident (e.g., data breach, fraud event).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MEDIUM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Incident response plan before launch. Data breach notification procedure (ICO 72-hour requirement). PR / crisis communications protocol.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100" w:after="0"/>
      <w:jc w:val="center"/>
    </w:pPr>
    <w:r>
      <w:rPr>
        <w:rFonts w:ascii="Arial" w:cs="Arial" w:eastAsia="Arial" w:hAnsi="Arial"/>
        <w:color w:val="CCCCCC"/>
        <w:sz w:val="16"/>
        <w:szCs w:val="16"/>
      </w:rPr>
      <w:t xml:space="preserve">Rewardz Ltd (Concept)  |  Confidential — Not for Distribution  |  March 2026  |  Page </w:t>
    </w:r>
    <w:r>
      <w:rPr>
        <w:rFonts w:ascii="Arial" w:cs="Arial" w:eastAsia="Arial" w:hAnsi="Arial"/>
        <w:color w:val="CCCCCC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922A" w:sz="4" w:space="4"/>
      </w:pBdr>
      <w:spacing w:before="0" w:after="120"/>
      <w:jc w:val="right"/>
    </w:pPr>
    <w:r>
      <w:rPr>
        <w:rFonts w:ascii="Arial" w:cs="Arial" w:eastAsia="Arial" w:hAnsi="Arial"/>
        <w:color w:val="CCCCCC"/>
        <w:sz w:val="18"/>
        <w:szCs w:val="18"/>
      </w:rPr>
      <w:t xml:space="preserve">REWARDZ — CONFIDENTIAL  |  </w:t>
    </w:r>
    <w:r>
      <w:rPr>
        <w:rFonts w:ascii="Arial" w:cs="Arial" w:eastAsia="Arial" w:hAnsi="Arial"/>
        <w:b/>
        <w:bCs/>
        <w:color w:val="1A3C5E"/>
        <w:sz w:val="18"/>
        <w:szCs w:val="18"/>
      </w:rPr>
      <w:t xml:space="preserve">Risk Register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C8922A" w:sz="4" w:space="4"/>
      </w:pBdr>
      <w:spacing w:before="280" w:after="120"/>
      <w:outlineLvl w:val="1"/>
    </w:pPr>
    <w:rPr>
      <w:rFonts w:ascii="Arial" w:cs="Arial" w:eastAsia="Arial" w:hAnsi="Arial"/>
      <w:b/>
      <w:bCs/>
      <w:color w:val="1A3C5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2026-03-20T02:20:56.188Z</dcterms:created>
  <dcterms:modified xsi:type="dcterms:W3CDTF">2026-03-20T02:20:56.188Z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