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0"/>
              <w:left w:type="dxa" w:w="560"/>
              <w:bottom w:type="dxa" w:w="400"/>
              <w:right w:type="dxa" w:w="56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64"/>
                <w:szCs w:val="64"/>
              </w:rPr>
              <w:t xml:space="preserve">REWARDZ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CONCEPT BRIEF &amp; VENTURE PROPOSITION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</w:pPr>
      <w:r>
        <w:t xml:space="preserve">1. Background &amp; Genesis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Rewardz originated from a simple observation: the loyalty gap between independent merchants and major chains is not a product problem — it is an infrastructure problem. Independent businesses lack the development resource, technical expertise, and operational bandwidth to build loyalty programmes that compete with those operated by chains such as Costa, Starbucks, and Tesco.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initial concept emerged from examining the coffee shop sector, where the most common customer retention tool remains the paper stamp card. This is not a technology limitation — it is a deployment and economic model limitation. The merchant cannot justify the cost of a proprietary loyalty platform for a business turning over £80,000–£150,000 per year.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insight driving Rewardz is that the solution is not a per-merchant loyalty app, but a shared network infrastructure — analogous to how Visa and Mastercard solved the problem of merchant payment acceptance by creating shared rails that any merchant could join at marginal cost.</w:t>
      </w:r>
    </w:p>
    <w:p>
      <w:pPr>
        <w:spacing w:before="80" w:after="0"/>
      </w:pPr>
      <w:r>
        <w:t xml:space="preserve"/>
      </w:r>
    </w:p>
    <w:p>
      <w:pPr>
        <w:pStyle w:val="Heading1"/>
      </w:pPr>
      <w:r>
        <w:t xml:space="preserve">2. The Problem Statement</w:t>
      </w:r>
    </w:p>
    <w:p>
      <w:pPr>
        <w:pStyle w:val="Heading2"/>
      </w:pPr>
      <w:r>
        <w:t xml:space="preserve">For Merchants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Paper stamp cards are frictionless but generate zero data, zero analytics, and zero customer relationship.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Proprietary digital loyalty apps cost £5,000–£50,000+ to build and require ongoing maintenance.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Existing coalition platforms (e.g., Miconex) require BID or council-led activation — not available to individual businesses.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Major chain loyalty programmes create habitual customer behaviour that independent operators cannot replicate.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Independent merchants have no visibility of which customers are loyal, how frequently they visit, or when they churn.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t xml:space="preserve">For Customers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Loyalty cards fragment across multiple merchants — customers carry 8–12 cards and engage with fewer than 3 regularly.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Rewards are slow to accumulate on a per-merchant basis — no incentive to discover new independent businesses.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cross-merchant value: being loyal to one independent shop generates no benefit at the independent shop next door.</w:t>
      </w:r>
    </w:p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3. The Rewardz Solution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Rewardz proposes a shared QR-based loyalty network in which any participating independent merchant can offer customers a standardised reward mechanism. Customers earn stamps or cash wallet credits across all network merchants simultaneously, creating a network effect that rewards loyalty to the independent sector as a whole rather than to any single business.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t xml:space="preserve">3.1 How It Works — Merchant Perspective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Merchant downloads the Rewardz merchant app on their existing smartphone (BYOD — no hardware cost).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 cryptographic QR code is displayed on the merchant's device at point of sale. The code cycles automatically every 30 seconds and is invalidated after each scan — preventing replay attacks and fraud.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Each customer scan triggers a micropayment from the merchant account (approximately 20p or 1% of transaction value). This is processed via Stripe Connect — the platform never holds merchant funds.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Weekly settlement: net payouts and charges are reconciled weekly, providing merchants with a clear, low-friction billing cycle.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t xml:space="preserve">3.2 How It Works — Customer Perspective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Customer scans the merchant's QR code using the Rewardz app (or browser link for first-time users).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 stamp is added to the customer's digital wallet. Stamps accumulate across all Rewardz merchants.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Upon reaching 10 stamps, the customer may redeem a free item at any participating merchant, or receive a cash wallet payout — the preferred model for platform liability reasons.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cash wallet model eliminates the complexity of pooled free-item liability while preserving customer value perception.</w:t>
      </w:r>
    </w:p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4. Technology Overview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is designed around a containerised microservices architecture deployed on cloud infrastructure (DigitalOcean DOKS — managed Kubernetes — is the recommended POC and launch platform). Key technical components are summarised below; a detailed Technology Architecture document is included in the document suite.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Technical 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QR Token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Generates cryptographic QR codes with 30-second HMAC-SHA256 time windows, post-scan invalidation, and replay protection.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HMAC cycling prevents static QR fraud; server-side invalidation prevents double-scan.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Merchant App (BYOD)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Native or PWA application for iOS/Android enabling NFC/QR display, scan logging, and settlement reporting.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Designed for existing staff devices; no proprietary hardware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Wallet App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Customer-facing application for stamp accumulation, wallet balance, and reward redemption.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Supports first-scan onboarding via browser deep-link; no app pre-required.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 Rail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merchant-to-platform financial flows routed via Stripe Connect. Platform operates as a marketplace facilitator.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Connect routing maintains FCA compliance; platform never holds funds as principal.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Fraud Engine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fraud detection on every scan event: velocity checks, device fingerprinting, anomaly detection.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Placed architecturally between QR validation and wallet earn — fraud check is structural, not optional.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Infrastructure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DigitalOcean DOKS (Kubernetes) for POC through launch. UK data centre. Portable to AWS/GCP at Series 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control plane; CNCF-certified; £200 sign-up credit covers ~3 months.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5. Market Positioning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Rewardz is positioned as infrastructure for independent commerce, not as a consumer loyalty app. The distinction is important: the target sales motion is B2B (merchant acquisition), the consumer experience is the product that retains the merchant, and the data layer is a future premium revenue stream.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t xml:space="preserve">5.1 Competitive Differentiation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1800"/>
        <w:gridCol w:w="138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Stamp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Proprietary App</w:t>
            </w:r>
          </w:p>
        </w:tc>
        <w:tc>
          <w:tcPr>
            <w:tcW w:type="dxa" w:w="1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Miconex / Coalition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Merchant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~1% per 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Near 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£5k–£50k+</w:t>
            </w:r>
          </w:p>
        </w:tc>
        <w:tc>
          <w:tcPr>
            <w:tcW w:type="dxa" w:w="1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BID/council fee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Hardware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 (BYOD)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printing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Often yes</w:t>
            </w:r>
          </w:p>
        </w:tc>
        <w:tc>
          <w:tcPr>
            <w:tcW w:type="dxa" w:w="1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Rich (all transactions)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Cross-merchant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— network effect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Independent focus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— structural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— chain focus</w:t>
            </w:r>
          </w:p>
        </w:tc>
        <w:tc>
          <w:tcPr>
            <w:tcW w:type="dxa" w:w="1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 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Immediate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Weeks–months</w:t>
            </w:r>
          </w:p>
        </w:tc>
        <w:tc>
          <w:tcPr>
            <w:tcW w:type="dxa" w:w="1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6. The Ethical Foundation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founding team has codified seven Covenants — binding commitments that anchor the platform to its founding purpose as it scales. These are not marketing statements; they are proposed governance constraints designed to prevent the platform from evolving in ways that undermine the independent merchant community it serves.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Covenant I: The platform will always prioritise independent merchants over chains and franchises.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Covenant II: Merchant data will never be sold to third parties without explicit consent.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Covenant III: Pricing changes will be communicated with a minimum 90-day notice period.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Covenant IV: Early adopter pricing locks will be honoured in full.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Covenant V: The platform will publish an annual community impact report.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Covenant VI: Governance will include merchant representation at board level.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Covenant VII: The platform will not accept investment from entities whose interests materially conflict with the independent merchant community.</w:t>
      </w:r>
    </w:p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Covenants are documented in full in the Ethical Covenants Charter included in this document suite.</w:t>
      </w:r>
    </w:p>
    <w:sectPr>
      <w:headerReference w:type="default" r:id="rId6"/>
      <w:footerReference w:type="default" r:id="rId7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00" w:after="0"/>
      <w:jc w:val="center"/>
    </w:pPr>
    <w:r>
      <w:rPr>
        <w:rFonts w:ascii="Arial" w:cs="Arial" w:eastAsia="Arial" w:hAnsi="Arial"/>
        <w:color w:val="CCCCCC"/>
        <w:sz w:val="16"/>
        <w:szCs w:val="16"/>
      </w:rPr>
      <w:t xml:space="preserve">Rewardz Ltd (Concept)  |  Confidential — Not for Distribution  |  March 2026  |  Page </w:t>
    </w:r>
    <w:r>
      <w:rPr>
        <w:rFonts w:ascii="Arial" w:cs="Arial" w:eastAsia="Arial" w:hAnsi="Arial"/>
        <w:color w:val="CCCCCC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22A" w:sz="4" w:space="4"/>
      </w:pBdr>
      <w:spacing w:before="0" w:after="120"/>
      <w:jc w:val="right"/>
    </w:pPr>
    <w:r>
      <w:rPr>
        <w:rFonts w:ascii="Arial" w:cs="Arial" w:eastAsia="Arial" w:hAnsi="Arial"/>
        <w:color w:val="CCCCCC"/>
        <w:sz w:val="18"/>
        <w:szCs w:val="18"/>
      </w:rPr>
      <w:t xml:space="preserve">REWARDZ — CONFIDENTIAL  |  </w:t>
    </w: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Concept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C8922A" w:sz="4" w:space="4"/>
      </w:pBdr>
      <w:spacing w:before="280" w:after="12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2026-03-20T02:20:55.790Z</dcterms:created>
  <dcterms:modified xsi:type="dcterms:W3CDTF">2026-03-20T02:20:55.790Z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