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0"/>
              <w:left w:type="dxa" w:w="560"/>
              <w:bottom w:type="dxa" w:w="400"/>
              <w:right w:type="dxa" w:w="56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64"/>
                <w:szCs w:val="64"/>
              </w:rPr>
              <w:t xml:space="preserve">REWARDZ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RECOMMENDED PROGRESSION PLAN &amp; DIRECTOR ALLOCATION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</w:pPr>
      <w:r>
        <w:t xml:space="preserve">Introduction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sets out the recommended order of progression from initial concept through to funded, operating business — and maps the specialist roles and director-level appointments required at each stage. It is intended to guide C-level decision-making on sequencing, resource allocation, and leadership hiring priorities.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sequencing follows a principle of minimum viable action at each stage: no resource is deployed prematurely, but no critical dependency is left unresolved. The platform cannot be built before the legal structure is clear; the platform cannot scale before unit economics are validated; international expansion cannot precede proof of domestic model. Each gate must be cleared before the next phase is authorised.</w:t>
      </w:r>
    </w:p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Phase 0 — Foundation (Weeks 0–4)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phase is about putting in place the minimum structures necessary to operate. No product is built. No external capital is deployed beyond personal founder resources.</w:t>
      </w:r>
    </w:p>
    <w:p>
      <w:pPr>
        <w:spacing w:before="80" w:after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8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Condition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Incorporate legal entity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Founder + solicitor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Company incorporated; shares issued; IP assigned to company.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complete before any investment conversation.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Commission FCA legal opinion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Founder + FCA counsel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Written opinion on Small Payment Institution requirements, Stripe Connect structure, cash wallet classification.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complete before MVP design is finalised.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Engage technical co-founder or 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Identified individual with equity agreement; architecture responsibility allocated.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be in place before MVP scoping begins.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Initiate research programme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Founder + research lead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7-workstream plan commissioned; merchant discovery interviews initiated.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Ongoing through Phase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Identify China partner candidate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 least one China-based contact engaged in preliminary discussion.</w:t>
            </w:r>
          </w:p>
        </w:tc>
        <w:tc>
          <w:tcPr>
            <w:tcW w:type="dxa" w:w="2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Non-blocking but must begin now — lead time is long.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Phase 1 — Validation (Weeks 4–15)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primary objective of Phase 1 is proof, not product. Merchant discovery interviews, consumer research, and technical feasibility work are conducted. The Phase 1 output is the Week 15 Go/No-Go decision — the first formal C-level gate.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Key Activities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all 7 research workstreams (market sizing, consumer behaviour, merchant demand, unit economics, tech feasibility, regulatory, GTM).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Conduct minimum 20 merchant discovery interviews across East Sussex beachhead territory.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Commission MVP technical scoping — architecture, build cost, timeline, team requirements.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Receive and review FCA legal opinion; determine registration pathway.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 Week 15 Go/No-Go scorecard for C-level review.</w:t>
      </w:r>
    </w:p>
    <w:p>
      <w:pPr>
        <w:spacing w:before="80" w:after="0"/>
      </w:pPr>
      <w:r>
        <w:t xml:space="preserve"/>
      </w:r>
    </w:p>
    <w:p>
      <w:pPr>
        <w:pStyle w:val="Heading2"/>
      </w:pPr>
      <w:r>
        <w:t xml:space="preserve">Week 15 Go/No-Go Scorecard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8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Threshold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No-Go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demand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Minimum 15 of 20 interviewed merchants express strong interest at 1% pricing.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Majority price-resistant or unwilling to use BYOD.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Consumer appetite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Survey data supports cross-merchant loyalty app adoption.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Strong preference for physical cards; low app adoption intent.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economics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Modelled economics validated within 20% by real merchant transaction data.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Material divergence from model renders economics unviable.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Technical feasibility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 can be scoped at under £80,000 and 6-month build timeline.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Technical complexity or cost materially exceeds estimates.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Regulatory pathway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FCA counsel confirms viable registration pathway with Stripe Connect structure.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FCA requires fund-holding structure that creates unacceptable liability.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Phase 2 — Build (Months 4–9)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Conditional on a positive Week 15 Go/No-Go outcome, the MVP build phase commences. Capital deployment (from pre-seed round or bridging finance) begins at this stage.</w:t>
      </w:r>
    </w:p>
    <w:p>
      <w:pPr>
        <w:spacing w:before="80" w:after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600"/>
        <w:gridCol w:w="358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Close pre-seed funding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+ CFO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4–5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Go/No-Go positive; investor term sheet agreed.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Commence MVP development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CTO + dev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4–9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Pre-seed funding received; FCA legal structure confirmed.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Sign first 20 merchant agreements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CCO / Merchant Director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5–7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agreement template approved by legal.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FCA SPI application submission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CFO + FCA counsel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5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 opinion received; Stripe Connect structure confirmed.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Initiate US scoping (entity, banking, legal)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+ US counsel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Non-blocking on UK launch but must not be deferred further.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Activate China operating partner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+ China 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Partner identified in Phase 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security penetration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CTO + external security firm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8</w:t>
            </w:r>
          </w:p>
        </w:tc>
        <w:tc>
          <w:tcPr>
            <w:tcW w:type="dxa" w:w="3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Pre-launch requirement; cannot be deferred post-launch.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Phase 3 — Launch (Month 9–12)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 goes live in the East Sussex beachhead territory. Consumer app available. Merchant onboarding complete. Weekly settlement operational.</w:t>
      </w:r>
    </w:p>
    <w:p>
      <w:pPr>
        <w:spacing w:before="80" w:after="0"/>
      </w:pPr>
      <w:r>
        <w:t xml:space="preserve"/>
      </w:r>
    </w:p>
    <w:tbl>
      <w:tblPr>
        <w:tblW w:type="dxa" w:w="10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218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180-Day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merchants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27–40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app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 scans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2,500+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NPS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 platform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£160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£500+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Director Roles &amp; Appointment Sequence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sets out the recommended director-level appointments, their primary accountabilities, and the recommended timing of engagement. Roles marked as 'Founder-held' may be discharged by the founding team until the relevant phase is reached, but should be transitioned to specialist appointments as soon as funding allows.</w:t>
      </w:r>
    </w:p>
    <w:p>
      <w:pPr>
        <w:spacing w:before="80" w:after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8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Accountability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Appointment Phase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Chief Executive Officer (CEO)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Overall strategy, investor relations, culture, final accountability on all decisions.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0 — Founder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Sets direction; holds the vision; Art of War thinking; drives fundraising narrative.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Chief Technology Officer (CTO)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architecture, MVP build, security, infrastructure, technical team.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0 — critical early hire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Most time-sensitive hire. The CTO shapes architecture decisions that cannot easily be undone. Equity stake essential.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Chief Financial Officer (CFO)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Financial model, investor reporting, FCA compliance, treasury, unit economics.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0–1 (fractional initially)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 be a fractional CFO in Phase 0–1. Must be full-time before pre-seed close. Owns the overfund buffer and tranche mechanics.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Chief Commercial Officer (CCO)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acquisition, partnerships, BID relationships, early adopter programme, market activation.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1–2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field general for beachhead merchant acquisition. Direct-to-merchant experience essential. Independent business background an advantage.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Chief Product Officer (CPO)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 roadmap, customer app UX, merchant app UX, feature prioritisation, customer research.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 (post-funding)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Initially the CTO may double as CPO. Dedicated CPO needed when platform is live and merchant/consumer feedback volume justifies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General Counsel / Legal Director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agreements, investor agreements, FCA registration, GDPR, IP protection.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0 (external counsel)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Retained external counsel initially. In-house appointment justified at Series A or when regulatory complexity demands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Director of Merchant Success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Post-onboarding merchant relationship, retention, upsell, early adopter programme management.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3 (post-launch)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Different from CCO — this role retains rather than acquires. Critical for preventing churn after lock-in period expires.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Director of International Expansion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 market entry, China partnership management, regulatory compliance per territory.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May be a dedicated hire or a consultant. China entry requires local expertise — a China-based operator or joint venture partner, not a UK director with China interest.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Chief Marketing Officer (CMO)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Consumer brand, app marketing, merchant marketing, PR, community impact communications.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Phase 2–3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Early-stage marketing is founder-led and scrappy. Formal CMO justified post-Series A when marketing spend scales.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Recommended C-Level Decision Sequence</w:t>
      </w:r>
    </w:p>
    <w:p>
      <w:pPr>
        <w:spacing w:before="6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decisions require formal C-level review and approval. They are presented in recommended chronological order:</w:t>
      </w:r>
    </w:p>
    <w:p>
      <w:pPr>
        <w:spacing w:before="80" w:after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8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Owner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Proceed to research programme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Concept brief reviewed; initial funding confirmed.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CTO / technical co-founder appointment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Candidate identified; equity terms agreed.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FCA legal counsel engagement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+ CFO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Counsel shortlist; scope of engagement agreed.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 / No-Go at Week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C-level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 research programme scorecard.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MVP scope and build cost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+ CTO + CFO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Technical scoping document; build cost estimate.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Pre-seed investor term sheet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4–5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+ CFO + legal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Term sheet with all four protection mechanisms.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agreement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+ CCO + legal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Template reviewed by legal; pilot terms confirmed.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launch authorisation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C-level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Security pen test complete; FCA status confirmed; 20 merchants signed; app QA passed.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International entry authorisation (US/China)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6 (assessment)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+ CFO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Minimum viable international presence defined; cost and legal requirements assessed.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Seed round initiation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12–15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+ CFO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Post-launch traction data available; metrics validate seed narrative.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D5E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The single most important near-term decision is the CTO appointment.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other Phase 0 actions can be managed by the founding team. The CTO appointment cannot be deferred — it is the most consequential hire the business will make, because every subsequent technical decision will be built on or constrained by the architecture choices made in the first 90 days.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 w:after="0"/>
      <w:jc w:val="center"/>
    </w:pPr>
    <w:r>
      <w:rPr>
        <w:rFonts w:ascii="Arial" w:cs="Arial" w:eastAsia="Arial" w:hAnsi="Arial"/>
        <w:color w:val="CCCCCC"/>
        <w:sz w:val="16"/>
        <w:szCs w:val="16"/>
      </w:rPr>
      <w:t xml:space="preserve">Rewardz Ltd (Concept)  |  Confidential — Not for Distribution  |  March 2026  |  Page </w:t>
    </w:r>
    <w:r>
      <w:rPr>
        <w:rFonts w:ascii="Arial" w:cs="Arial" w:eastAsia="Arial" w:hAnsi="Arial"/>
        <w:color w:val="CCCCCC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22A" w:sz="4" w:space="4"/>
      </w:pBdr>
      <w:spacing w:before="0" w:after="120"/>
      <w:jc w:val="right"/>
    </w:pPr>
    <w:r>
      <w:rPr>
        <w:rFonts w:ascii="Arial" w:cs="Arial" w:eastAsia="Arial" w:hAnsi="Arial"/>
        <w:color w:val="CCCCCC"/>
        <w:sz w:val="18"/>
        <w:szCs w:val="18"/>
      </w:rPr>
      <w:t xml:space="preserve">REWARDZ — CONFIDENTIAL  |  </w:t>
    </w: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Progression Plan &amp; Director Allocation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8922A" w:sz="4" w:space="4"/>
      </w:pBdr>
      <w:spacing w:before="280" w:after="12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2026-03-20T02:20:56.229Z</dcterms:created>
  <dcterms:modified xsi:type="dcterms:W3CDTF">2026-03-20T02:20:56.229Z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