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70A87" w14:textId="77777777" w:rsidR="004F3D34" w:rsidRDefault="0012463D">
      <w:pPr>
        <w:spacing w:after="444" w:line="259" w:lineRule="auto"/>
        <w:ind w:left="70" w:right="0" w:firstLine="0"/>
        <w:jc w:val="center"/>
      </w:pPr>
      <w:r>
        <w:rPr>
          <w:b/>
          <w:sz w:val="36"/>
        </w:rPr>
        <w:t xml:space="preserve"> </w:t>
      </w:r>
    </w:p>
    <w:p w14:paraId="279B98C3" w14:textId="77777777" w:rsidR="004F3D34" w:rsidRDefault="0012463D">
      <w:pPr>
        <w:spacing w:after="445" w:line="259" w:lineRule="auto"/>
        <w:ind w:left="70" w:right="0" w:firstLine="0"/>
        <w:jc w:val="center"/>
      </w:pPr>
      <w:r>
        <w:rPr>
          <w:b/>
          <w:sz w:val="36"/>
        </w:rPr>
        <w:t xml:space="preserve"> </w:t>
      </w:r>
    </w:p>
    <w:p w14:paraId="174041C4" w14:textId="77777777" w:rsidR="004F3D34" w:rsidRDefault="0012463D">
      <w:pPr>
        <w:spacing w:after="344" w:line="259" w:lineRule="auto"/>
        <w:ind w:left="0" w:right="1089" w:firstLine="0"/>
        <w:jc w:val="right"/>
      </w:pPr>
      <w:r>
        <w:rPr>
          <w:noProof/>
        </w:rPr>
        <w:drawing>
          <wp:inline distT="0" distB="0" distL="0" distR="0" wp14:anchorId="26A051BD" wp14:editId="6F6C941A">
            <wp:extent cx="4837508" cy="174498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4837508" cy="1744980"/>
                    </a:xfrm>
                    <a:prstGeom prst="rect">
                      <a:avLst/>
                    </a:prstGeom>
                  </pic:spPr>
                </pic:pic>
              </a:graphicData>
            </a:graphic>
          </wp:inline>
        </w:drawing>
      </w:r>
      <w:r>
        <w:rPr>
          <w:b/>
          <w:sz w:val="36"/>
        </w:rPr>
        <w:t xml:space="preserve"> </w:t>
      </w:r>
    </w:p>
    <w:p w14:paraId="1727B646" w14:textId="77777777" w:rsidR="004F3D34" w:rsidRDefault="0012463D">
      <w:pPr>
        <w:spacing w:after="444" w:line="259" w:lineRule="auto"/>
        <w:ind w:left="70" w:right="0" w:firstLine="0"/>
        <w:jc w:val="center"/>
      </w:pPr>
      <w:r>
        <w:rPr>
          <w:b/>
          <w:sz w:val="36"/>
        </w:rPr>
        <w:t xml:space="preserve"> </w:t>
      </w:r>
    </w:p>
    <w:p w14:paraId="69886C80" w14:textId="77777777" w:rsidR="004F3D34" w:rsidRDefault="0012463D">
      <w:pPr>
        <w:spacing w:after="444" w:line="259" w:lineRule="auto"/>
        <w:ind w:left="70" w:right="0" w:firstLine="0"/>
        <w:jc w:val="center"/>
      </w:pPr>
      <w:r>
        <w:rPr>
          <w:b/>
          <w:sz w:val="36"/>
        </w:rPr>
        <w:t xml:space="preserve"> </w:t>
      </w:r>
    </w:p>
    <w:p w14:paraId="31B758DF" w14:textId="77777777" w:rsidR="004F3D34" w:rsidRDefault="0012463D">
      <w:pPr>
        <w:spacing w:after="447" w:line="259" w:lineRule="auto"/>
        <w:ind w:left="70" w:right="0" w:firstLine="0"/>
        <w:jc w:val="center"/>
      </w:pPr>
      <w:r>
        <w:rPr>
          <w:b/>
          <w:sz w:val="36"/>
        </w:rPr>
        <w:t xml:space="preserve"> </w:t>
      </w:r>
    </w:p>
    <w:p w14:paraId="61D92BD7" w14:textId="77777777" w:rsidR="004F3D34" w:rsidRDefault="0012463D">
      <w:pPr>
        <w:spacing w:after="92" w:line="259" w:lineRule="auto"/>
        <w:ind w:left="2023" w:right="0" w:firstLine="0"/>
        <w:jc w:val="left"/>
      </w:pPr>
      <w:r>
        <w:rPr>
          <w:b/>
          <w:sz w:val="36"/>
        </w:rPr>
        <w:t xml:space="preserve">Keep Hope Alive Scholarship Report </w:t>
      </w:r>
    </w:p>
    <w:p w14:paraId="6373C639" w14:textId="77777777" w:rsidR="004F3D34" w:rsidRDefault="0012463D">
      <w:pPr>
        <w:spacing w:after="176" w:line="259" w:lineRule="auto"/>
        <w:ind w:left="0" w:firstLine="0"/>
        <w:jc w:val="center"/>
      </w:pPr>
      <w:r>
        <w:t xml:space="preserve">August 9, 2024 </w:t>
      </w:r>
    </w:p>
    <w:p w14:paraId="6B8860DB" w14:textId="77777777" w:rsidR="004F3D34" w:rsidRDefault="0012463D">
      <w:pPr>
        <w:spacing w:after="156" w:line="259" w:lineRule="auto"/>
        <w:ind w:left="0" w:right="0" w:firstLine="0"/>
        <w:jc w:val="left"/>
      </w:pPr>
      <w:r>
        <w:t xml:space="preserve"> </w:t>
      </w:r>
    </w:p>
    <w:p w14:paraId="69F89DD4" w14:textId="77777777" w:rsidR="004F3D34" w:rsidRDefault="0012463D">
      <w:pPr>
        <w:spacing w:after="156" w:line="259" w:lineRule="auto"/>
        <w:ind w:left="0" w:right="0" w:firstLine="0"/>
        <w:jc w:val="left"/>
      </w:pPr>
      <w:r>
        <w:t xml:space="preserve"> </w:t>
      </w:r>
    </w:p>
    <w:p w14:paraId="01CBB9FE" w14:textId="77777777" w:rsidR="004F3D34" w:rsidRDefault="0012463D">
      <w:pPr>
        <w:spacing w:after="156" w:line="259" w:lineRule="auto"/>
        <w:ind w:left="0" w:right="0" w:firstLine="0"/>
        <w:jc w:val="left"/>
      </w:pPr>
      <w:r>
        <w:t xml:space="preserve"> </w:t>
      </w:r>
    </w:p>
    <w:p w14:paraId="7FAAEEEE" w14:textId="77777777" w:rsidR="004F3D34" w:rsidRDefault="0012463D">
      <w:pPr>
        <w:spacing w:after="156" w:line="259" w:lineRule="auto"/>
        <w:ind w:left="0" w:right="0" w:firstLine="0"/>
        <w:jc w:val="left"/>
      </w:pPr>
      <w:r>
        <w:t xml:space="preserve"> </w:t>
      </w:r>
    </w:p>
    <w:p w14:paraId="5B9D205D" w14:textId="77777777" w:rsidR="004F3D34" w:rsidRDefault="0012463D">
      <w:pPr>
        <w:spacing w:after="156" w:line="259" w:lineRule="auto"/>
        <w:ind w:left="0" w:right="0" w:firstLine="0"/>
        <w:jc w:val="left"/>
      </w:pPr>
      <w:r>
        <w:t xml:space="preserve"> </w:t>
      </w:r>
    </w:p>
    <w:p w14:paraId="35EF82F3" w14:textId="77777777" w:rsidR="004F3D34" w:rsidRDefault="0012463D">
      <w:pPr>
        <w:spacing w:after="156" w:line="259" w:lineRule="auto"/>
        <w:ind w:left="0" w:right="0" w:firstLine="0"/>
        <w:jc w:val="left"/>
      </w:pPr>
      <w:r>
        <w:t xml:space="preserve"> </w:t>
      </w:r>
    </w:p>
    <w:p w14:paraId="407F8516" w14:textId="77777777" w:rsidR="004F3D34" w:rsidRDefault="0012463D">
      <w:pPr>
        <w:spacing w:after="159" w:line="259" w:lineRule="auto"/>
        <w:ind w:left="0" w:right="0" w:firstLine="0"/>
        <w:jc w:val="left"/>
      </w:pPr>
      <w:r>
        <w:t xml:space="preserve"> </w:t>
      </w:r>
    </w:p>
    <w:p w14:paraId="562BC9DF" w14:textId="77777777" w:rsidR="000F6E55" w:rsidRDefault="000F6E55">
      <w:pPr>
        <w:spacing w:after="159" w:line="259" w:lineRule="auto"/>
        <w:ind w:left="0" w:right="0" w:firstLine="0"/>
        <w:jc w:val="left"/>
      </w:pPr>
    </w:p>
    <w:p w14:paraId="4EBCC0A1" w14:textId="77777777" w:rsidR="000F6E55" w:rsidRDefault="000F6E55">
      <w:pPr>
        <w:spacing w:after="159" w:line="259" w:lineRule="auto"/>
        <w:ind w:left="0" w:right="0" w:firstLine="0"/>
        <w:jc w:val="left"/>
      </w:pPr>
    </w:p>
    <w:p w14:paraId="77216A8A" w14:textId="77777777" w:rsidR="004F3D34" w:rsidRDefault="0012463D">
      <w:pPr>
        <w:spacing w:after="0" w:line="259" w:lineRule="auto"/>
        <w:ind w:left="0" w:right="0" w:firstLine="0"/>
        <w:jc w:val="left"/>
      </w:pPr>
      <w:r>
        <w:t xml:space="preserve"> </w:t>
      </w:r>
    </w:p>
    <w:sdt>
      <w:sdtPr>
        <w:rPr>
          <w:b w:val="0"/>
          <w:sz w:val="24"/>
          <w:lang w:bidi="en-US"/>
        </w:rPr>
        <w:id w:val="-1156215739"/>
        <w:docPartObj>
          <w:docPartGallery w:val="Table of Contents"/>
        </w:docPartObj>
      </w:sdtPr>
      <w:sdtEndPr/>
      <w:sdtContent>
        <w:p w14:paraId="58013042" w14:textId="77777777" w:rsidR="004F3D34" w:rsidRDefault="0012463D">
          <w:pPr>
            <w:pStyle w:val="Heading2"/>
            <w:ind w:left="-5"/>
          </w:pPr>
          <w:r>
            <w:t>Table of contents</w:t>
          </w:r>
          <w:r>
            <w:rPr>
              <w:sz w:val="24"/>
            </w:rPr>
            <w:t xml:space="preserve"> </w:t>
          </w:r>
        </w:p>
        <w:p w14:paraId="40A54532" w14:textId="77777777" w:rsidR="004F3D34" w:rsidRDefault="0012463D">
          <w:pPr>
            <w:spacing w:after="156" w:line="259" w:lineRule="auto"/>
            <w:ind w:left="0" w:right="0" w:firstLine="0"/>
            <w:jc w:val="left"/>
          </w:pPr>
          <w:r>
            <w:t xml:space="preserve"> </w:t>
          </w:r>
        </w:p>
        <w:p w14:paraId="1F5C5440" w14:textId="67FBB280" w:rsidR="004F3D34" w:rsidRDefault="0012463D">
          <w:pPr>
            <w:pStyle w:val="TOC1"/>
            <w:tabs>
              <w:tab w:val="right" w:leader="dot" w:pos="9939"/>
            </w:tabs>
          </w:pPr>
          <w:r>
            <w:fldChar w:fldCharType="begin"/>
          </w:r>
          <w:r>
            <w:instrText xml:space="preserve"> TOC \o "1-1" \h \z \u </w:instrText>
          </w:r>
          <w:r>
            <w:fldChar w:fldCharType="separate"/>
          </w:r>
          <w:hyperlink w:anchor="_Toc6499">
            <w:r>
              <w:t>Executive Summary</w:t>
            </w:r>
            <w:r>
              <w:tab/>
            </w:r>
            <w:r>
              <w:fldChar w:fldCharType="begin"/>
            </w:r>
            <w:r>
              <w:instrText>PAGEREF _Toc6499 \h</w:instrText>
            </w:r>
            <w:r>
              <w:fldChar w:fldCharType="separate"/>
            </w:r>
            <w:r w:rsidR="004332F7">
              <w:rPr>
                <w:noProof/>
              </w:rPr>
              <w:t>3</w:t>
            </w:r>
            <w:r>
              <w:fldChar w:fldCharType="end"/>
            </w:r>
          </w:hyperlink>
        </w:p>
        <w:p w14:paraId="3418E0DC" w14:textId="0954A0C9" w:rsidR="004F3D34" w:rsidRDefault="0012463D">
          <w:pPr>
            <w:pStyle w:val="TOC1"/>
            <w:tabs>
              <w:tab w:val="right" w:leader="dot" w:pos="9939"/>
            </w:tabs>
          </w:pPr>
          <w:hyperlink w:anchor="_Toc6500">
            <w:r>
              <w:t>Introduction</w:t>
            </w:r>
            <w:r>
              <w:tab/>
            </w:r>
            <w:r>
              <w:fldChar w:fldCharType="begin"/>
            </w:r>
            <w:r>
              <w:instrText>PAGEREF _Toc6500 \h</w:instrText>
            </w:r>
            <w:r>
              <w:fldChar w:fldCharType="separate"/>
            </w:r>
            <w:r w:rsidR="004332F7">
              <w:rPr>
                <w:noProof/>
              </w:rPr>
              <w:t>4</w:t>
            </w:r>
            <w:r>
              <w:fldChar w:fldCharType="end"/>
            </w:r>
          </w:hyperlink>
        </w:p>
        <w:p w14:paraId="397727F2" w14:textId="007A7A30" w:rsidR="004F3D34" w:rsidRDefault="0012463D">
          <w:pPr>
            <w:pStyle w:val="TOC1"/>
            <w:tabs>
              <w:tab w:val="right" w:leader="dot" w:pos="9939"/>
            </w:tabs>
          </w:pPr>
          <w:hyperlink w:anchor="_Toc6501">
            <w:r>
              <w:t>Methods</w:t>
            </w:r>
            <w:r>
              <w:tab/>
            </w:r>
            <w:r>
              <w:fldChar w:fldCharType="begin"/>
            </w:r>
            <w:r>
              <w:instrText>PAGEREF _Toc6501 \h</w:instrText>
            </w:r>
            <w:r>
              <w:fldChar w:fldCharType="separate"/>
            </w:r>
            <w:r w:rsidR="004332F7">
              <w:rPr>
                <w:noProof/>
              </w:rPr>
              <w:t>4</w:t>
            </w:r>
            <w:r>
              <w:fldChar w:fldCharType="end"/>
            </w:r>
          </w:hyperlink>
        </w:p>
        <w:p w14:paraId="2B444874" w14:textId="3507FD01" w:rsidR="004F3D34" w:rsidRDefault="0012463D">
          <w:pPr>
            <w:pStyle w:val="TOC1"/>
            <w:tabs>
              <w:tab w:val="right" w:leader="dot" w:pos="9939"/>
            </w:tabs>
          </w:pPr>
          <w:hyperlink w:anchor="_Toc6502">
            <w:r>
              <w:t>Results</w:t>
            </w:r>
            <w:r>
              <w:tab/>
            </w:r>
            <w:r>
              <w:fldChar w:fldCharType="begin"/>
            </w:r>
            <w:r>
              <w:instrText>PAGEREF _Toc6502 \h</w:instrText>
            </w:r>
            <w:r>
              <w:fldChar w:fldCharType="separate"/>
            </w:r>
            <w:r w:rsidR="004332F7">
              <w:rPr>
                <w:noProof/>
              </w:rPr>
              <w:t>6</w:t>
            </w:r>
            <w:r>
              <w:fldChar w:fldCharType="end"/>
            </w:r>
          </w:hyperlink>
        </w:p>
        <w:p w14:paraId="759C664D" w14:textId="27CE0DB9" w:rsidR="004F3D34" w:rsidRDefault="0012463D">
          <w:pPr>
            <w:pStyle w:val="TOC1"/>
            <w:tabs>
              <w:tab w:val="right" w:leader="dot" w:pos="9939"/>
            </w:tabs>
          </w:pPr>
          <w:hyperlink w:anchor="_Toc6503">
            <w:r>
              <w:t>Conclusions</w:t>
            </w:r>
            <w:r>
              <w:tab/>
            </w:r>
            <w:r>
              <w:fldChar w:fldCharType="begin"/>
            </w:r>
            <w:r>
              <w:instrText>PAGEREF _Toc6503 \h</w:instrText>
            </w:r>
            <w:r>
              <w:fldChar w:fldCharType="separate"/>
            </w:r>
            <w:r w:rsidR="004332F7">
              <w:rPr>
                <w:noProof/>
              </w:rPr>
              <w:t>8</w:t>
            </w:r>
            <w:r>
              <w:fldChar w:fldCharType="end"/>
            </w:r>
          </w:hyperlink>
        </w:p>
        <w:p w14:paraId="0C0D81DA" w14:textId="0CBDF68F" w:rsidR="004F3D34" w:rsidRDefault="0012463D">
          <w:pPr>
            <w:pStyle w:val="TOC1"/>
            <w:tabs>
              <w:tab w:val="right" w:leader="dot" w:pos="9939"/>
            </w:tabs>
          </w:pPr>
          <w:hyperlink w:anchor="_Toc6504">
            <w:r>
              <w:t>Appendix</w:t>
            </w:r>
            <w:r>
              <w:tab/>
            </w:r>
            <w:r>
              <w:fldChar w:fldCharType="begin"/>
            </w:r>
            <w:r>
              <w:instrText>PAGEREF _Toc6504 \h</w:instrText>
            </w:r>
            <w:r>
              <w:fldChar w:fldCharType="separate"/>
            </w:r>
            <w:r w:rsidR="004332F7">
              <w:rPr>
                <w:noProof/>
              </w:rPr>
              <w:t>9</w:t>
            </w:r>
            <w:r>
              <w:fldChar w:fldCharType="end"/>
            </w:r>
          </w:hyperlink>
        </w:p>
        <w:p w14:paraId="7D3B2EA1" w14:textId="77777777" w:rsidR="004F3D34" w:rsidRDefault="0012463D">
          <w:r>
            <w:fldChar w:fldCharType="end"/>
          </w:r>
        </w:p>
      </w:sdtContent>
    </w:sdt>
    <w:p w14:paraId="6278DDA8" w14:textId="77777777" w:rsidR="004F3D34" w:rsidRDefault="0012463D">
      <w:pPr>
        <w:spacing w:after="207" w:line="259" w:lineRule="auto"/>
        <w:ind w:left="0" w:right="0" w:firstLine="0"/>
        <w:jc w:val="left"/>
      </w:pPr>
      <w:r>
        <w:t xml:space="preserve"> </w:t>
      </w:r>
    </w:p>
    <w:p w14:paraId="51DC69F2" w14:textId="77777777" w:rsidR="004F3D34" w:rsidRDefault="0012463D">
      <w:pPr>
        <w:spacing w:after="0" w:line="259" w:lineRule="auto"/>
        <w:ind w:left="0" w:right="0" w:firstLine="0"/>
        <w:jc w:val="left"/>
      </w:pPr>
      <w:r>
        <w:rPr>
          <w:rFonts w:ascii="Arial" w:eastAsia="Arial" w:hAnsi="Arial" w:cs="Arial"/>
        </w:rPr>
        <w:t xml:space="preserve"> </w:t>
      </w:r>
      <w:r>
        <w:rPr>
          <w:rFonts w:ascii="Arial" w:eastAsia="Arial" w:hAnsi="Arial" w:cs="Arial"/>
        </w:rPr>
        <w:tab/>
      </w:r>
      <w:r>
        <w:t xml:space="preserve"> </w:t>
      </w:r>
      <w:r>
        <w:br w:type="page"/>
      </w:r>
    </w:p>
    <w:p w14:paraId="0FD942AE" w14:textId="77777777" w:rsidR="004F3D34" w:rsidRDefault="0012463D">
      <w:pPr>
        <w:pStyle w:val="Heading1"/>
        <w:ind w:left="-5"/>
      </w:pPr>
      <w:bookmarkStart w:id="0" w:name="_Toc6499"/>
      <w:r>
        <w:t xml:space="preserve">Executive Summary </w:t>
      </w:r>
      <w:bookmarkEnd w:id="0"/>
    </w:p>
    <w:p w14:paraId="1CDFD7EB" w14:textId="5DC514E7" w:rsidR="004F3D34" w:rsidRDefault="0012463D">
      <w:pPr>
        <w:pStyle w:val="Heading3"/>
        <w:spacing w:after="0"/>
        <w:ind w:left="-5"/>
      </w:pPr>
      <w:r>
        <w:t>Background and Aim</w:t>
      </w:r>
    </w:p>
    <w:p w14:paraId="526B0984" w14:textId="77777777" w:rsidR="004F3D34" w:rsidRDefault="0012463D">
      <w:pPr>
        <w:numPr>
          <w:ilvl w:val="0"/>
          <w:numId w:val="1"/>
        </w:numPr>
        <w:ind w:right="0" w:hanging="480"/>
      </w:pPr>
      <w:r>
        <w:t xml:space="preserve">A significant proportion (37%) of first-time, full-time students who enroll at Georgia State University (GSU) with the HOPE scholarship eventually lose it. In response, GSU introduced the Keep HOPE Alive (KHA) program to help these students improve their academic performance and regain eligibility for the HOPE scholarship. </w:t>
      </w:r>
    </w:p>
    <w:p w14:paraId="6F59012A" w14:textId="77777777" w:rsidR="004F3D34" w:rsidRDefault="0012463D">
      <w:pPr>
        <w:numPr>
          <w:ilvl w:val="0"/>
          <w:numId w:val="1"/>
        </w:numPr>
        <w:ind w:right="0" w:hanging="480"/>
      </w:pPr>
      <w:r>
        <w:t xml:space="preserve">The goal of this analysis was to determine the effect of receiving the KHA scholarship on the likelihood of regaining the HOPE scholarship and graduating. </w:t>
      </w:r>
    </w:p>
    <w:p w14:paraId="448E9DE5" w14:textId="77777777" w:rsidR="004F3D34" w:rsidRDefault="0012463D">
      <w:pPr>
        <w:pStyle w:val="Heading3"/>
        <w:spacing w:after="0"/>
        <w:ind w:left="-5"/>
      </w:pPr>
      <w:r>
        <w:t xml:space="preserve">Methods </w:t>
      </w:r>
    </w:p>
    <w:p w14:paraId="2E4C3AED" w14:textId="3AE939C8" w:rsidR="004F3D34" w:rsidRDefault="0012463D">
      <w:pPr>
        <w:numPr>
          <w:ilvl w:val="0"/>
          <w:numId w:val="2"/>
        </w:numPr>
        <w:ind w:right="0" w:hanging="480"/>
      </w:pPr>
      <w:r>
        <w:t xml:space="preserve">The analytic sample included 372 KHA recipients and 372 non-recipient students who also lost </w:t>
      </w:r>
      <w:r w:rsidR="000F6E55">
        <w:t xml:space="preserve">the </w:t>
      </w:r>
      <w:r>
        <w:t>HOPE</w:t>
      </w:r>
      <w:r w:rsidR="000F6E55">
        <w:t xml:space="preserve"> scholarship</w:t>
      </w:r>
      <w:r>
        <w:t xml:space="preserve">. The two groups </w:t>
      </w:r>
      <w:proofErr w:type="gramStart"/>
      <w:r>
        <w:t>were matched</w:t>
      </w:r>
      <w:proofErr w:type="gramEnd"/>
      <w:r>
        <w:t xml:space="preserve"> for demographic, socioeconomic, and academic performance characteristics. </w:t>
      </w:r>
    </w:p>
    <w:p w14:paraId="3D7D5CAE" w14:textId="77777777" w:rsidR="004F3D34" w:rsidRDefault="0012463D">
      <w:pPr>
        <w:numPr>
          <w:ilvl w:val="0"/>
          <w:numId w:val="2"/>
        </w:numPr>
        <w:ind w:right="0" w:hanging="480"/>
      </w:pPr>
      <w:r>
        <w:t xml:space="preserve">Logistic regression </w:t>
      </w:r>
      <w:proofErr w:type="gramStart"/>
      <w:r>
        <w:t>was used</w:t>
      </w:r>
      <w:proofErr w:type="gramEnd"/>
      <w:r>
        <w:t xml:space="preserve"> to estimate the effect of the KHA scholarship on (1) regaining the HOPE scholarship and (2) graduating within 6 years of first enrollment. </w:t>
      </w:r>
    </w:p>
    <w:p w14:paraId="0D595D19" w14:textId="77777777" w:rsidR="004F3D34" w:rsidRDefault="0012463D">
      <w:pPr>
        <w:pStyle w:val="Heading3"/>
        <w:spacing w:after="0"/>
        <w:ind w:left="-5"/>
      </w:pPr>
      <w:r>
        <w:t xml:space="preserve">Results </w:t>
      </w:r>
    </w:p>
    <w:p w14:paraId="38555269" w14:textId="77777777" w:rsidR="004F3D34" w:rsidRDefault="0012463D">
      <w:pPr>
        <w:numPr>
          <w:ilvl w:val="0"/>
          <w:numId w:val="3"/>
        </w:numPr>
        <w:ind w:right="0" w:hanging="480"/>
      </w:pPr>
      <w:r w:rsidRPr="00B23955">
        <w:t>KHA recipients</w:t>
      </w:r>
      <w:r>
        <w:t xml:space="preserve"> were nearly </w:t>
      </w:r>
      <w:r w:rsidRPr="00B23955">
        <w:rPr>
          <w:bCs/>
        </w:rPr>
        <w:t>two times more likely to regain the HOPE scholarship</w:t>
      </w:r>
      <w:r>
        <w:t xml:space="preserve"> than non-recipients. Additionally, the percentage point improvements in the HOPE regain rates for Black (+18 pp), Hispanic (+21 pp), first-generation (+19 pp), and Pell recipient (+17 pp) students were larger than the regain </w:t>
      </w:r>
      <w:proofErr w:type="gramStart"/>
      <w:r>
        <w:t>rate</w:t>
      </w:r>
      <w:proofErr w:type="gramEnd"/>
      <w:r>
        <w:t xml:space="preserve"> for all students combined (+16pp). </w:t>
      </w:r>
    </w:p>
    <w:p w14:paraId="3C47672D" w14:textId="0A4B7A2C" w:rsidR="004F3D34" w:rsidRDefault="0012463D">
      <w:pPr>
        <w:numPr>
          <w:ilvl w:val="0"/>
          <w:numId w:val="3"/>
        </w:numPr>
        <w:ind w:right="0" w:hanging="480"/>
      </w:pPr>
      <w:r w:rsidRPr="00B23955">
        <w:t>KHA recipients</w:t>
      </w:r>
      <w:r>
        <w:t xml:space="preserve"> were </w:t>
      </w:r>
      <w:r w:rsidRPr="00B23955">
        <w:rPr>
          <w:bCs/>
        </w:rPr>
        <w:t>two times more likely to graduate</w:t>
      </w:r>
      <w:r>
        <w:t xml:space="preserve"> than non-recipients, with graduation rates that were 15</w:t>
      </w:r>
      <w:r w:rsidR="00B17730">
        <w:t xml:space="preserve"> </w:t>
      </w:r>
      <w:r>
        <w:t xml:space="preserve">percentage points higher than non-recipients. The largest gains in graduation rates occurred for Black students (+19 pp) and Pell recipients (+17 pp). </w:t>
      </w:r>
    </w:p>
    <w:p w14:paraId="1A4E0BCE" w14:textId="77777777" w:rsidR="004F3D34" w:rsidRDefault="0012463D">
      <w:pPr>
        <w:pStyle w:val="Heading3"/>
        <w:spacing w:after="0"/>
        <w:ind w:left="-5"/>
      </w:pPr>
      <w:r>
        <w:t xml:space="preserve">Conclusions </w:t>
      </w:r>
    </w:p>
    <w:p w14:paraId="3F27AB3D" w14:textId="77777777" w:rsidR="004F3D34" w:rsidRDefault="0012463D">
      <w:pPr>
        <w:numPr>
          <w:ilvl w:val="0"/>
          <w:numId w:val="4"/>
        </w:numPr>
        <w:ind w:right="0" w:hanging="480"/>
      </w:pPr>
      <w:r>
        <w:t xml:space="preserve">The KHA program increases the likelihood that a student will regain the HOPE scholarship and graduate. Moreover, the increases in regain rates and graduation rates for Black students and Pell recipients were larger than the increase for all students combined.  </w:t>
      </w:r>
    </w:p>
    <w:p w14:paraId="6FE10EFC" w14:textId="77777777" w:rsidR="004F3D34" w:rsidRDefault="0012463D">
      <w:pPr>
        <w:numPr>
          <w:ilvl w:val="0"/>
          <w:numId w:val="4"/>
        </w:numPr>
        <w:ind w:right="0" w:hanging="480"/>
      </w:pPr>
      <w:r>
        <w:t xml:space="preserve">These findings provide compelling evidence that scholarship programs like Keep HOPE Alive benefit all students and are particularly impactful for students from underserved backgrounds. </w:t>
      </w:r>
    </w:p>
    <w:p w14:paraId="2808D2DC" w14:textId="77777777" w:rsidR="004F3D34" w:rsidRDefault="0012463D">
      <w:pPr>
        <w:spacing w:after="176" w:line="259" w:lineRule="auto"/>
        <w:ind w:left="0" w:right="0" w:firstLine="0"/>
        <w:jc w:val="left"/>
      </w:pPr>
      <w:r>
        <w:t xml:space="preserve"> </w:t>
      </w:r>
    </w:p>
    <w:p w14:paraId="758DF864" w14:textId="77777777" w:rsidR="004F3D34" w:rsidRDefault="0012463D">
      <w:pPr>
        <w:spacing w:after="178" w:line="259" w:lineRule="auto"/>
        <w:ind w:left="0" w:right="0" w:firstLine="0"/>
        <w:jc w:val="left"/>
      </w:pPr>
      <w:r>
        <w:t xml:space="preserve"> </w:t>
      </w:r>
    </w:p>
    <w:p w14:paraId="627F168D" w14:textId="77777777" w:rsidR="004F3D34" w:rsidRDefault="0012463D">
      <w:pPr>
        <w:spacing w:after="176" w:line="259" w:lineRule="auto"/>
        <w:ind w:left="0" w:right="0" w:firstLine="0"/>
        <w:jc w:val="left"/>
      </w:pPr>
      <w:r>
        <w:t xml:space="preserve"> </w:t>
      </w:r>
    </w:p>
    <w:p w14:paraId="409113BD" w14:textId="77777777" w:rsidR="004F3D34" w:rsidRDefault="0012463D">
      <w:pPr>
        <w:spacing w:after="0" w:line="259" w:lineRule="auto"/>
        <w:ind w:left="0" w:right="0" w:firstLine="0"/>
        <w:jc w:val="left"/>
      </w:pPr>
      <w:r>
        <w:t xml:space="preserve"> </w:t>
      </w:r>
    </w:p>
    <w:p w14:paraId="18AEFE72" w14:textId="77777777" w:rsidR="004F3D34" w:rsidRDefault="0012463D">
      <w:pPr>
        <w:pStyle w:val="Heading1"/>
        <w:ind w:left="-5"/>
      </w:pPr>
      <w:bookmarkStart w:id="1" w:name="_Toc6500"/>
      <w:r>
        <w:lastRenderedPageBreak/>
        <w:t xml:space="preserve">Introduction </w:t>
      </w:r>
      <w:bookmarkEnd w:id="1"/>
    </w:p>
    <w:p w14:paraId="0C642B84" w14:textId="77777777" w:rsidR="004F3D34" w:rsidRDefault="0012463D">
      <w:pPr>
        <w:spacing w:after="545"/>
        <w:ind w:left="-15" w:right="0" w:firstLine="360"/>
      </w:pPr>
      <w:r>
        <w:t xml:space="preserve">The HOPE scholarship </w:t>
      </w:r>
      <w:proofErr w:type="gramStart"/>
      <w:r>
        <w:t>is awarded</w:t>
      </w:r>
      <w:proofErr w:type="gramEnd"/>
      <w:r>
        <w:t xml:space="preserve"> to Georgia residents who demonstrate academic excellence and offers financial support to students by covering part of their tuition at eligible higher education institutions. From 2012 to 2017, over 15,000 first-time, full-time students enrolled at GSU with the HOPE scholarship. However, almost 6,000 students lost the scholarship over the course of their enrollment (see Figure 1). To help students regain the scholarship, GSU introduced the Keep HOPE Alive (KHA) program. The program awards a $1,00</w:t>
      </w:r>
      <w:r>
        <w:t xml:space="preserve">0 scholarship to students on the condition that they engage in a series of support interventions aimed at improving their academic performance. This paper evaluates the effect of receiving the KHA scholarship on regaining the HOPE scholarship and graduating. </w:t>
      </w:r>
    </w:p>
    <w:p w14:paraId="79E62118" w14:textId="77777777" w:rsidR="004F3D34" w:rsidRDefault="0012463D">
      <w:pPr>
        <w:pStyle w:val="Heading1"/>
        <w:ind w:left="-5"/>
      </w:pPr>
      <w:bookmarkStart w:id="2" w:name="_Toc6501"/>
      <w:r>
        <w:t xml:space="preserve">Methods </w:t>
      </w:r>
      <w:bookmarkEnd w:id="2"/>
    </w:p>
    <w:p w14:paraId="0C909420" w14:textId="77777777" w:rsidR="004F3D34" w:rsidRDefault="0012463D">
      <w:pPr>
        <w:pStyle w:val="Heading3"/>
        <w:ind w:left="-5"/>
      </w:pPr>
      <w:r>
        <w:t xml:space="preserve">Sample Selection </w:t>
      </w:r>
    </w:p>
    <w:p w14:paraId="218F5396" w14:textId="77777777" w:rsidR="004F3D34" w:rsidRDefault="0012463D">
      <w:pPr>
        <w:ind w:left="-15" w:right="0" w:firstLine="360"/>
      </w:pPr>
      <w:r>
        <w:t xml:space="preserve">The analytic sample of KHA recipients and non-recipients was determined based on predefined inclusion criteria and a matching method (see Figure 1). The initial sample was composed of first-time, full-time freshman students who enrolled at GSU with the HOPE scholarship in the Fall 2012 through Fall 2017 terms. These specific years </w:t>
      </w:r>
      <w:proofErr w:type="gramStart"/>
      <w:r>
        <w:t>were chosen</w:t>
      </w:r>
      <w:proofErr w:type="gramEnd"/>
      <w:r>
        <w:t xml:space="preserve"> because they are the most recent cohorts with data available for 6-year graduation outcomes (graduation years of 2018-2023). The second inclusion criterion was the loss of the scholarship. This selection process led to a mid-point sample size of 372 KHA recipients and 5,469 non-recipients (see Table 1 for descriptive statistics). To reduce the loss of data points for KHA recipients due to missing information (31 students), missing values for socio-demographic variables were re-coded as ‘missing’</w:t>
      </w:r>
      <w:r>
        <w:t xml:space="preserve">, and academic performance variables </w:t>
      </w:r>
      <w:proofErr w:type="gramStart"/>
      <w:r>
        <w:t>were imputed</w:t>
      </w:r>
      <w:proofErr w:type="gramEnd"/>
      <w:r>
        <w:t xml:space="preserve"> with the group average. Due to the unbalanced sample sizes, a matching method (Nearest Neighbor; see the Appendix for more information) </w:t>
      </w:r>
      <w:proofErr w:type="gramStart"/>
      <w:r>
        <w:t>was used</w:t>
      </w:r>
      <w:proofErr w:type="gramEnd"/>
      <w:r>
        <w:t xml:space="preserve"> to improve the balance between KHA recipients and non-recipients. The final analytic sample included 372 KHA </w:t>
      </w:r>
      <w:proofErr w:type="gramStart"/>
      <w:r>
        <w:t>recipients</w:t>
      </w:r>
      <w:proofErr w:type="gramEnd"/>
      <w:r>
        <w:t xml:space="preserve"> and 372 non-recipient students matched for similar demographic, socioeconomic, and academic performance characteristics. </w:t>
      </w:r>
    </w:p>
    <w:p w14:paraId="128671AB" w14:textId="77777777" w:rsidR="004F3D34" w:rsidRDefault="0012463D">
      <w:pPr>
        <w:pStyle w:val="Heading3"/>
        <w:ind w:left="-5"/>
      </w:pPr>
      <w:r>
        <w:t xml:space="preserve">Statistical Analysis </w:t>
      </w:r>
    </w:p>
    <w:p w14:paraId="4AC36E3C" w14:textId="77777777" w:rsidR="004F3D34" w:rsidRDefault="0012463D">
      <w:pPr>
        <w:spacing w:after="235" w:line="259" w:lineRule="auto"/>
        <w:ind w:left="10" w:right="-9" w:hanging="10"/>
        <w:jc w:val="right"/>
      </w:pPr>
      <w:r>
        <w:t xml:space="preserve">A logistic regression model </w:t>
      </w:r>
      <w:proofErr w:type="gramStart"/>
      <w:r>
        <w:t>was used</w:t>
      </w:r>
      <w:proofErr w:type="gramEnd"/>
      <w:r>
        <w:t xml:space="preserve"> to estimate the effect of the KHA scholarship as follows: </w:t>
      </w:r>
    </w:p>
    <w:p w14:paraId="4668C7B7" w14:textId="0DF7CF7E" w:rsidR="004F3D34" w:rsidRDefault="0012463D">
      <w:pPr>
        <w:spacing w:after="172" w:line="259" w:lineRule="auto"/>
        <w:ind w:left="0" w:right="17" w:firstLine="0"/>
        <w:jc w:val="center"/>
      </w:pPr>
      <w:r>
        <w:rPr>
          <w:rFonts w:ascii="Cambria Math" w:eastAsia="Cambria Math" w:hAnsi="Cambria Math" w:cs="Cambria Math"/>
        </w:rPr>
        <w:t>𝑌</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𝛽</w:t>
      </w:r>
      <w:r>
        <w:rPr>
          <w:rFonts w:ascii="Cambria Math" w:eastAsia="Cambria Math" w:hAnsi="Cambria Math" w:cs="Cambria Math"/>
          <w:vertAlign w:val="subscript"/>
        </w:rPr>
        <w:t xml:space="preserve">0 </w:t>
      </w:r>
      <w:r>
        <w:rPr>
          <w:rFonts w:ascii="Cambria Math" w:eastAsia="Cambria Math" w:hAnsi="Cambria Math" w:cs="Cambria Math"/>
        </w:rPr>
        <w:t>+</w:t>
      </w:r>
      <w:r>
        <w:rPr>
          <w:rFonts w:ascii="Cambria Math" w:eastAsia="Cambria Math" w:hAnsi="Cambria Math" w:cs="Cambria Math"/>
        </w:rPr>
        <w:t>𝛽</w:t>
      </w:r>
      <w:r>
        <w:rPr>
          <w:rFonts w:ascii="Cambria Math" w:eastAsia="Cambria Math" w:hAnsi="Cambria Math" w:cs="Cambria Math"/>
          <w:vertAlign w:val="subscript"/>
        </w:rPr>
        <w:t>1</w:t>
      </w:r>
      <w:r>
        <w:rPr>
          <w:rFonts w:ascii="Cambria Math" w:eastAsia="Cambria Math" w:hAnsi="Cambria Math" w:cs="Cambria Math"/>
        </w:rPr>
        <w:t>𝐾</w:t>
      </w:r>
      <w:r w:rsidR="00D06174">
        <w:rPr>
          <w:rFonts w:ascii="Cambria Math" w:eastAsia="Cambria Math" w:hAnsi="Cambria Math" w:cs="Cambria Math"/>
        </w:rPr>
        <w:t>H</w:t>
      </w:r>
      <w:r>
        <w:rPr>
          <w:rFonts w:ascii="Cambria Math" w:eastAsia="Cambria Math" w:hAnsi="Cambria Math" w:cs="Cambria Math"/>
        </w:rPr>
        <w:t>𝐴</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𝑋</w:t>
      </w:r>
      <w:r>
        <w:rPr>
          <w:rFonts w:ascii="Cambria Math" w:eastAsia="Cambria Math" w:hAnsi="Cambria Math" w:cs="Cambria Math"/>
          <w:vertAlign w:val="subscript"/>
        </w:rPr>
        <w:t>𝑖</w:t>
      </w:r>
      <w:r>
        <w:rPr>
          <w:rFonts w:ascii="Cambria Math" w:eastAsia="Cambria Math" w:hAnsi="Cambria Math" w:cs="Cambria Math"/>
        </w:rPr>
        <w:t>𝛾</w:t>
      </w:r>
      <w:r>
        <w:rPr>
          <w:rFonts w:ascii="Cambria Math" w:eastAsia="Cambria Math" w:hAnsi="Cambria Math" w:cs="Cambria Math"/>
        </w:rPr>
        <w:t>+</w:t>
      </w:r>
      <w:r>
        <w:rPr>
          <w:rFonts w:ascii="Cambria Math" w:eastAsia="Cambria Math" w:hAnsi="Cambria Math" w:cs="Cambria Math"/>
        </w:rPr>
        <w:t>𝑒</w:t>
      </w:r>
      <w:r>
        <w:rPr>
          <w:rFonts w:ascii="Cambria Math" w:eastAsia="Cambria Math" w:hAnsi="Cambria Math" w:cs="Cambria Math"/>
          <w:vertAlign w:val="subscript"/>
        </w:rPr>
        <w:t>𝑖</w:t>
      </w:r>
    </w:p>
    <w:p w14:paraId="3CC2A21B" w14:textId="24CEE6A6" w:rsidR="004F3D34" w:rsidRDefault="0012463D">
      <w:pPr>
        <w:ind w:left="-15" w:right="0" w:firstLine="0"/>
      </w:pPr>
      <w:r>
        <w:t xml:space="preserve">where </w:t>
      </w:r>
      <w:r>
        <w:rPr>
          <w:rFonts w:ascii="Cambria Math" w:eastAsia="Cambria Math" w:hAnsi="Cambria Math" w:cs="Cambria Math"/>
        </w:rPr>
        <w:t>𝑌</w:t>
      </w:r>
      <w:r>
        <w:rPr>
          <w:rFonts w:ascii="Cambria Math" w:eastAsia="Cambria Math" w:hAnsi="Cambria Math" w:cs="Cambria Math"/>
          <w:vertAlign w:val="subscript"/>
        </w:rPr>
        <w:t>𝑖</w:t>
      </w:r>
      <w:r>
        <w:t xml:space="preserve"> is the binary outcome variable, </w:t>
      </w:r>
      <w:r w:rsidR="00D06174">
        <w:rPr>
          <w:rFonts w:ascii="Cambria Math" w:eastAsia="Cambria Math" w:hAnsi="Cambria Math" w:cs="Cambria Math"/>
        </w:rPr>
        <w:t>𝐾H𝐴</w:t>
      </w:r>
      <w:r w:rsidR="00D06174">
        <w:rPr>
          <w:rFonts w:ascii="Cambria Math" w:eastAsia="Cambria Math" w:hAnsi="Cambria Math" w:cs="Cambria Math"/>
          <w:vertAlign w:val="subscript"/>
        </w:rPr>
        <w:t>𝑖</w:t>
      </w:r>
      <w:r>
        <w:t xml:space="preserve"> is the predictor variable for a Keep Hope Alive scholarship, </w:t>
      </w:r>
      <w:r>
        <w:rPr>
          <w:rFonts w:ascii="Cambria Math" w:eastAsia="Cambria Math" w:hAnsi="Cambria Math" w:cs="Cambria Math"/>
        </w:rPr>
        <w:t>𝑋</w:t>
      </w:r>
      <w:r>
        <w:rPr>
          <w:rFonts w:ascii="Cambria Math" w:eastAsia="Cambria Math" w:hAnsi="Cambria Math" w:cs="Cambria Math"/>
          <w:vertAlign w:val="subscript"/>
        </w:rPr>
        <w:t>𝑖</w:t>
      </w:r>
      <w:r>
        <w:t xml:space="preserve"> is a vector of student characteristics, </w:t>
      </w:r>
      <w:r>
        <w:rPr>
          <w:rFonts w:ascii="Cambria Math" w:eastAsia="Cambria Math" w:hAnsi="Cambria Math" w:cs="Cambria Math"/>
        </w:rPr>
        <w:t>𝛾</w:t>
      </w:r>
      <w:r>
        <w:t xml:space="preserve"> is a vector of the coefficients associated with the student characteristics, and </w:t>
      </w:r>
      <w:r>
        <w:rPr>
          <w:rFonts w:ascii="Cambria Math" w:eastAsia="Cambria Math" w:hAnsi="Cambria Math" w:cs="Cambria Math"/>
        </w:rPr>
        <w:t>𝜀</w:t>
      </w:r>
      <w:r>
        <w:rPr>
          <w:rFonts w:ascii="Cambria Math" w:eastAsia="Cambria Math" w:hAnsi="Cambria Math" w:cs="Cambria Math"/>
          <w:vertAlign w:val="subscript"/>
        </w:rPr>
        <w:t>𝑖</w:t>
      </w:r>
      <w:r>
        <w:t xml:space="preserve"> is the error term. The student characteristics </w:t>
      </w:r>
      <w:r>
        <w:t>included</w:t>
      </w:r>
      <w:r>
        <w:t xml:space="preserve"> </w:t>
      </w:r>
      <w:r w:rsidR="008B5097">
        <w:t xml:space="preserve">in the model </w:t>
      </w:r>
      <w:r>
        <w:t xml:space="preserve">were Black/non-black, Hispanic/non-Hispanic, Pell status, first-generation status, sex, high school GPA, and GSU GPA and credit hours at the time when the HOPE scholarship </w:t>
      </w:r>
      <w:proofErr w:type="gramStart"/>
      <w:r>
        <w:t>was lost</w:t>
      </w:r>
      <w:proofErr w:type="gramEnd"/>
      <w:r>
        <w:t xml:space="preserve">. Two separate models </w:t>
      </w:r>
      <w:proofErr w:type="gramStart"/>
      <w:r>
        <w:t>were used</w:t>
      </w:r>
      <w:proofErr w:type="gramEnd"/>
      <w:r>
        <w:t>:</w:t>
      </w:r>
      <w:r w:rsidR="00021112">
        <w:t xml:space="preserve"> </w:t>
      </w:r>
      <w:r>
        <w:t xml:space="preserve">one with the outcome variable as regaining the HOPE scholarship and another with the outcome variable as graduating. Statistical significance was set at P &lt; 0.10 (see the Appendix for an explanation of P-values). </w:t>
      </w:r>
    </w:p>
    <w:p w14:paraId="11D1AB7F" w14:textId="77777777" w:rsidR="004F3D34" w:rsidRDefault="0012463D">
      <w:pPr>
        <w:pStyle w:val="Heading3"/>
        <w:spacing w:after="82"/>
        <w:ind w:left="-5"/>
      </w:pPr>
      <w:r>
        <w:lastRenderedPageBreak/>
        <w:t xml:space="preserve">Figure 1: Sample Selection Flowchart </w:t>
      </w:r>
    </w:p>
    <w:p w14:paraId="33ACD7C4" w14:textId="77777777" w:rsidR="004F3D34" w:rsidRDefault="0012463D">
      <w:pPr>
        <w:spacing w:after="198" w:line="259" w:lineRule="auto"/>
        <w:ind w:left="0" w:right="0" w:firstLine="0"/>
        <w:jc w:val="left"/>
      </w:pPr>
      <w:r>
        <w:rPr>
          <w:rFonts w:ascii="Cambria" w:eastAsia="Cambria" w:hAnsi="Cambria" w:cs="Cambria"/>
          <w:sz w:val="16"/>
        </w:rPr>
        <w:t xml:space="preserve"> </w:t>
      </w:r>
    </w:p>
    <w:p w14:paraId="08DE4FA0" w14:textId="77777777" w:rsidR="004F3D34" w:rsidRDefault="0012463D">
      <w:pPr>
        <w:spacing w:after="102" w:line="259" w:lineRule="auto"/>
        <w:ind w:left="0" w:right="550" w:firstLine="0"/>
        <w:jc w:val="right"/>
      </w:pPr>
      <w:r>
        <w:rPr>
          <w:noProof/>
        </w:rPr>
        <w:drawing>
          <wp:inline distT="0" distB="0" distL="0" distR="0" wp14:anchorId="337A9E7C" wp14:editId="021ECA66">
            <wp:extent cx="5547995" cy="3359150"/>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8"/>
                    <a:stretch>
                      <a:fillRect/>
                    </a:stretch>
                  </pic:blipFill>
                  <pic:spPr>
                    <a:xfrm>
                      <a:off x="0" y="0"/>
                      <a:ext cx="5547995" cy="3359150"/>
                    </a:xfrm>
                    <a:prstGeom prst="rect">
                      <a:avLst/>
                    </a:prstGeom>
                  </pic:spPr>
                </pic:pic>
              </a:graphicData>
            </a:graphic>
          </wp:inline>
        </w:drawing>
      </w:r>
      <w:r>
        <w:rPr>
          <w:rFonts w:ascii="Cambria" w:eastAsia="Cambria" w:hAnsi="Cambria" w:cs="Cambria"/>
        </w:rPr>
        <w:t xml:space="preserve"> </w:t>
      </w:r>
    </w:p>
    <w:p w14:paraId="53A1634C" w14:textId="77777777" w:rsidR="004F3D34" w:rsidRDefault="0012463D">
      <w:pPr>
        <w:spacing w:after="14" w:line="392" w:lineRule="auto"/>
        <w:ind w:left="0" w:right="9886" w:firstLine="0"/>
        <w:jc w:val="left"/>
      </w:pPr>
      <w:r>
        <w:rPr>
          <w:rFonts w:ascii="Cambria" w:eastAsia="Cambria" w:hAnsi="Cambria" w:cs="Cambria"/>
        </w:rPr>
        <w:t xml:space="preserve">  </w:t>
      </w:r>
    </w:p>
    <w:p w14:paraId="716B40F5" w14:textId="77777777" w:rsidR="004F3D34" w:rsidRDefault="0012463D">
      <w:pPr>
        <w:pStyle w:val="Heading3"/>
        <w:spacing w:after="0"/>
        <w:ind w:left="-5"/>
      </w:pPr>
      <w:r>
        <w:t xml:space="preserve">Table 1: Descriptive Statistics </w:t>
      </w:r>
    </w:p>
    <w:p w14:paraId="3AA7FBDA" w14:textId="77777777" w:rsidR="004F3D34" w:rsidRDefault="0012463D">
      <w:pPr>
        <w:spacing w:after="143" w:line="259" w:lineRule="auto"/>
        <w:ind w:left="0" w:right="0" w:firstLine="0"/>
        <w:jc w:val="left"/>
      </w:pPr>
      <w:r>
        <w:rPr>
          <w:rFonts w:ascii="Cambria" w:eastAsia="Cambria" w:hAnsi="Cambria" w:cs="Cambria"/>
          <w:sz w:val="4"/>
        </w:rPr>
        <w:t xml:space="preserve"> </w:t>
      </w:r>
    </w:p>
    <w:tbl>
      <w:tblPr>
        <w:tblStyle w:val="TableGrid"/>
        <w:tblW w:w="10298" w:type="dxa"/>
        <w:tblInd w:w="-14" w:type="dxa"/>
        <w:tblCellMar>
          <w:top w:w="6" w:type="dxa"/>
          <w:left w:w="0" w:type="dxa"/>
          <w:bottom w:w="0" w:type="dxa"/>
          <w:right w:w="83" w:type="dxa"/>
        </w:tblCellMar>
        <w:tblLook w:val="04A0" w:firstRow="1" w:lastRow="0" w:firstColumn="1" w:lastColumn="0" w:noHBand="0" w:noVBand="1"/>
      </w:tblPr>
      <w:tblGrid>
        <w:gridCol w:w="2964"/>
        <w:gridCol w:w="2877"/>
        <w:gridCol w:w="2594"/>
        <w:gridCol w:w="1863"/>
      </w:tblGrid>
      <w:tr w:rsidR="004F3D34" w14:paraId="210B08E8" w14:textId="77777777">
        <w:trPr>
          <w:trHeight w:val="722"/>
        </w:trPr>
        <w:tc>
          <w:tcPr>
            <w:tcW w:w="2964" w:type="dxa"/>
            <w:tcBorders>
              <w:top w:val="single" w:sz="12" w:space="0" w:color="000000"/>
              <w:left w:val="nil"/>
              <w:bottom w:val="single" w:sz="6" w:space="0" w:color="000000"/>
              <w:right w:val="nil"/>
            </w:tcBorders>
            <w:vAlign w:val="center"/>
          </w:tcPr>
          <w:p w14:paraId="5975B5FB" w14:textId="77777777" w:rsidR="004F3D34" w:rsidRDefault="0012463D">
            <w:pPr>
              <w:spacing w:after="0" w:line="259" w:lineRule="auto"/>
              <w:ind w:left="0" w:right="0" w:firstLine="0"/>
              <w:jc w:val="center"/>
            </w:pPr>
            <w:r>
              <w:rPr>
                <w:sz w:val="22"/>
              </w:rPr>
              <w:t xml:space="preserve"> </w:t>
            </w:r>
          </w:p>
        </w:tc>
        <w:tc>
          <w:tcPr>
            <w:tcW w:w="2877" w:type="dxa"/>
            <w:tcBorders>
              <w:top w:val="single" w:sz="12" w:space="0" w:color="000000"/>
              <w:left w:val="nil"/>
              <w:bottom w:val="single" w:sz="6" w:space="0" w:color="000000"/>
              <w:right w:val="nil"/>
            </w:tcBorders>
          </w:tcPr>
          <w:p w14:paraId="13D34B95" w14:textId="77777777" w:rsidR="004F3D34" w:rsidRDefault="0012463D">
            <w:pPr>
              <w:spacing w:after="0" w:line="259" w:lineRule="auto"/>
              <w:ind w:left="0" w:right="0" w:firstLine="0"/>
              <w:jc w:val="left"/>
            </w:pPr>
            <w:r>
              <w:rPr>
                <w:sz w:val="22"/>
              </w:rPr>
              <w:t xml:space="preserve">Keep Hope Alive Recipients </w:t>
            </w:r>
          </w:p>
          <w:p w14:paraId="2C074E19" w14:textId="77777777" w:rsidR="004F3D34" w:rsidRDefault="0012463D">
            <w:pPr>
              <w:spacing w:after="0" w:line="259" w:lineRule="auto"/>
              <w:ind w:left="0" w:right="198" w:firstLine="0"/>
              <w:jc w:val="center"/>
            </w:pPr>
            <w:r>
              <w:rPr>
                <w:sz w:val="22"/>
              </w:rPr>
              <w:t xml:space="preserve">(n = 372) </w:t>
            </w:r>
          </w:p>
        </w:tc>
        <w:tc>
          <w:tcPr>
            <w:tcW w:w="2594" w:type="dxa"/>
            <w:tcBorders>
              <w:top w:val="single" w:sz="12" w:space="0" w:color="000000"/>
              <w:left w:val="nil"/>
              <w:bottom w:val="single" w:sz="6" w:space="0" w:color="000000"/>
              <w:right w:val="nil"/>
            </w:tcBorders>
          </w:tcPr>
          <w:p w14:paraId="2DEE3A24" w14:textId="77777777" w:rsidR="00D96E3E" w:rsidRDefault="0012463D" w:rsidP="00D96E3E">
            <w:pPr>
              <w:spacing w:after="0" w:line="259" w:lineRule="auto"/>
              <w:ind w:left="761" w:right="0" w:hanging="761"/>
              <w:rPr>
                <w:sz w:val="22"/>
              </w:rPr>
            </w:pPr>
            <w:r>
              <w:rPr>
                <w:sz w:val="22"/>
              </w:rPr>
              <w:t>Matched</w:t>
            </w:r>
            <w:r w:rsidR="00D96E3E">
              <w:rPr>
                <w:sz w:val="22"/>
              </w:rPr>
              <w:t xml:space="preserve"> </w:t>
            </w:r>
            <w:r>
              <w:rPr>
                <w:sz w:val="22"/>
              </w:rPr>
              <w:t>non-Recipients</w:t>
            </w:r>
          </w:p>
          <w:p w14:paraId="2F4BED0D" w14:textId="64FFFBBC" w:rsidR="004F3D34" w:rsidRPr="00D96E3E" w:rsidRDefault="00D96E3E" w:rsidP="00D96E3E">
            <w:pPr>
              <w:spacing w:after="0" w:line="259" w:lineRule="auto"/>
              <w:ind w:left="761" w:right="0" w:hanging="761"/>
              <w:rPr>
                <w:sz w:val="22"/>
              </w:rPr>
            </w:pPr>
            <w:r>
              <w:rPr>
                <w:sz w:val="22"/>
              </w:rPr>
              <w:t xml:space="preserve">                 </w:t>
            </w:r>
            <w:r w:rsidR="0012463D">
              <w:rPr>
                <w:sz w:val="22"/>
              </w:rPr>
              <w:t>(n = 372)</w:t>
            </w:r>
          </w:p>
        </w:tc>
        <w:tc>
          <w:tcPr>
            <w:tcW w:w="1863" w:type="dxa"/>
            <w:tcBorders>
              <w:top w:val="single" w:sz="12" w:space="0" w:color="000000"/>
              <w:left w:val="nil"/>
              <w:bottom w:val="single" w:sz="6" w:space="0" w:color="000000"/>
              <w:right w:val="nil"/>
            </w:tcBorders>
          </w:tcPr>
          <w:p w14:paraId="0ED1C8A5" w14:textId="77777777" w:rsidR="004F3D34" w:rsidRDefault="0012463D">
            <w:pPr>
              <w:spacing w:after="0" w:line="259" w:lineRule="auto"/>
              <w:ind w:left="372" w:right="0" w:hanging="372"/>
              <w:jc w:val="left"/>
            </w:pPr>
            <w:r>
              <w:rPr>
                <w:sz w:val="22"/>
              </w:rPr>
              <w:t xml:space="preserve">All non-Recipients (n = 5,469) </w:t>
            </w:r>
          </w:p>
        </w:tc>
      </w:tr>
      <w:tr w:rsidR="004F3D34" w14:paraId="175DB7B1" w14:textId="77777777">
        <w:trPr>
          <w:trHeight w:val="299"/>
        </w:trPr>
        <w:tc>
          <w:tcPr>
            <w:tcW w:w="2964" w:type="dxa"/>
            <w:tcBorders>
              <w:top w:val="single" w:sz="6" w:space="0" w:color="000000"/>
              <w:left w:val="nil"/>
              <w:bottom w:val="nil"/>
              <w:right w:val="nil"/>
            </w:tcBorders>
          </w:tcPr>
          <w:p w14:paraId="3F617124" w14:textId="77777777" w:rsidR="004F3D34" w:rsidRDefault="0012463D">
            <w:pPr>
              <w:spacing w:after="0" w:line="259" w:lineRule="auto"/>
              <w:ind w:left="122" w:right="0" w:firstLine="0"/>
              <w:jc w:val="left"/>
            </w:pPr>
            <w:r>
              <w:rPr>
                <w:sz w:val="22"/>
              </w:rPr>
              <w:t xml:space="preserve">High School GPA </w:t>
            </w:r>
          </w:p>
        </w:tc>
        <w:tc>
          <w:tcPr>
            <w:tcW w:w="2877" w:type="dxa"/>
            <w:tcBorders>
              <w:top w:val="single" w:sz="6" w:space="0" w:color="000000"/>
              <w:left w:val="nil"/>
              <w:bottom w:val="nil"/>
              <w:right w:val="nil"/>
            </w:tcBorders>
          </w:tcPr>
          <w:p w14:paraId="183E4926" w14:textId="77777777" w:rsidR="004F3D34" w:rsidRDefault="0012463D">
            <w:pPr>
              <w:spacing w:after="0" w:line="259" w:lineRule="auto"/>
              <w:ind w:left="0" w:right="200" w:firstLine="0"/>
              <w:jc w:val="center"/>
            </w:pPr>
            <w:r>
              <w:rPr>
                <w:sz w:val="22"/>
              </w:rPr>
              <w:t xml:space="preserve">3.39 </w:t>
            </w:r>
          </w:p>
        </w:tc>
        <w:tc>
          <w:tcPr>
            <w:tcW w:w="2594" w:type="dxa"/>
            <w:tcBorders>
              <w:top w:val="single" w:sz="6" w:space="0" w:color="000000"/>
              <w:left w:val="nil"/>
              <w:bottom w:val="nil"/>
              <w:right w:val="nil"/>
            </w:tcBorders>
          </w:tcPr>
          <w:p w14:paraId="2888ECD4" w14:textId="189795BA" w:rsidR="004F3D34" w:rsidRDefault="0012463D" w:rsidP="00D96E3E">
            <w:pPr>
              <w:spacing w:after="0" w:line="259" w:lineRule="auto"/>
              <w:ind w:left="0" w:right="181" w:firstLine="0"/>
              <w:jc w:val="center"/>
            </w:pPr>
            <w:r>
              <w:rPr>
                <w:sz w:val="22"/>
              </w:rPr>
              <w:t>3.39</w:t>
            </w:r>
          </w:p>
        </w:tc>
        <w:tc>
          <w:tcPr>
            <w:tcW w:w="1863" w:type="dxa"/>
            <w:tcBorders>
              <w:top w:val="single" w:sz="6" w:space="0" w:color="000000"/>
              <w:left w:val="nil"/>
              <w:bottom w:val="nil"/>
              <w:right w:val="nil"/>
            </w:tcBorders>
          </w:tcPr>
          <w:p w14:paraId="27F2596F" w14:textId="77777777" w:rsidR="004F3D34" w:rsidRDefault="0012463D">
            <w:pPr>
              <w:spacing w:after="0" w:line="259" w:lineRule="auto"/>
              <w:ind w:left="0" w:right="44" w:firstLine="0"/>
              <w:jc w:val="center"/>
            </w:pPr>
            <w:r>
              <w:rPr>
                <w:sz w:val="22"/>
              </w:rPr>
              <w:t xml:space="preserve">3.41 </w:t>
            </w:r>
          </w:p>
        </w:tc>
      </w:tr>
      <w:tr w:rsidR="004F3D34" w14:paraId="134460EA" w14:textId="77777777">
        <w:trPr>
          <w:trHeight w:val="317"/>
        </w:trPr>
        <w:tc>
          <w:tcPr>
            <w:tcW w:w="2964" w:type="dxa"/>
            <w:tcBorders>
              <w:top w:val="nil"/>
              <w:left w:val="nil"/>
              <w:bottom w:val="nil"/>
              <w:right w:val="nil"/>
            </w:tcBorders>
          </w:tcPr>
          <w:p w14:paraId="015CB5E8" w14:textId="77777777" w:rsidR="004F3D34" w:rsidRDefault="0012463D">
            <w:pPr>
              <w:spacing w:after="0" w:line="259" w:lineRule="auto"/>
              <w:ind w:left="122" w:right="0" w:firstLine="0"/>
              <w:jc w:val="left"/>
            </w:pPr>
            <w:r>
              <w:rPr>
                <w:sz w:val="22"/>
              </w:rPr>
              <w:t xml:space="preserve">GSU GPA at HOPE Loss </w:t>
            </w:r>
          </w:p>
        </w:tc>
        <w:tc>
          <w:tcPr>
            <w:tcW w:w="2877" w:type="dxa"/>
            <w:tcBorders>
              <w:top w:val="nil"/>
              <w:left w:val="nil"/>
              <w:bottom w:val="nil"/>
              <w:right w:val="nil"/>
            </w:tcBorders>
          </w:tcPr>
          <w:p w14:paraId="5CBB2606" w14:textId="77777777" w:rsidR="004F3D34" w:rsidRDefault="0012463D">
            <w:pPr>
              <w:spacing w:after="0" w:line="259" w:lineRule="auto"/>
              <w:ind w:left="0" w:right="200" w:firstLine="0"/>
              <w:jc w:val="center"/>
            </w:pPr>
            <w:r>
              <w:rPr>
                <w:sz w:val="22"/>
              </w:rPr>
              <w:t xml:space="preserve">2.87 </w:t>
            </w:r>
          </w:p>
        </w:tc>
        <w:tc>
          <w:tcPr>
            <w:tcW w:w="2594" w:type="dxa"/>
            <w:tcBorders>
              <w:top w:val="nil"/>
              <w:left w:val="nil"/>
              <w:bottom w:val="nil"/>
              <w:right w:val="nil"/>
            </w:tcBorders>
          </w:tcPr>
          <w:p w14:paraId="12AE9C7C" w14:textId="0A57B9F8" w:rsidR="004F3D34" w:rsidRDefault="0012463D" w:rsidP="00D96E3E">
            <w:pPr>
              <w:spacing w:after="0" w:line="259" w:lineRule="auto"/>
              <w:ind w:left="0" w:right="181" w:firstLine="0"/>
              <w:jc w:val="center"/>
            </w:pPr>
            <w:r>
              <w:rPr>
                <w:sz w:val="22"/>
              </w:rPr>
              <w:t>2.85</w:t>
            </w:r>
          </w:p>
        </w:tc>
        <w:tc>
          <w:tcPr>
            <w:tcW w:w="1863" w:type="dxa"/>
            <w:tcBorders>
              <w:top w:val="nil"/>
              <w:left w:val="nil"/>
              <w:bottom w:val="nil"/>
              <w:right w:val="nil"/>
            </w:tcBorders>
          </w:tcPr>
          <w:p w14:paraId="4FB5F9FE" w14:textId="77777777" w:rsidR="004F3D34" w:rsidRDefault="0012463D">
            <w:pPr>
              <w:spacing w:after="0" w:line="259" w:lineRule="auto"/>
              <w:ind w:left="0" w:right="44" w:firstLine="0"/>
              <w:jc w:val="center"/>
            </w:pPr>
            <w:r>
              <w:rPr>
                <w:sz w:val="22"/>
              </w:rPr>
              <w:t xml:space="preserve">2.73 </w:t>
            </w:r>
          </w:p>
        </w:tc>
      </w:tr>
      <w:tr w:rsidR="004F3D34" w14:paraId="35CD949C" w14:textId="77777777">
        <w:trPr>
          <w:trHeight w:val="317"/>
        </w:trPr>
        <w:tc>
          <w:tcPr>
            <w:tcW w:w="2964" w:type="dxa"/>
            <w:tcBorders>
              <w:top w:val="nil"/>
              <w:left w:val="nil"/>
              <w:bottom w:val="nil"/>
              <w:right w:val="nil"/>
            </w:tcBorders>
          </w:tcPr>
          <w:p w14:paraId="4146AA1A" w14:textId="77777777" w:rsidR="004F3D34" w:rsidRDefault="0012463D">
            <w:pPr>
              <w:spacing w:after="0" w:line="259" w:lineRule="auto"/>
              <w:ind w:left="122" w:right="0" w:firstLine="0"/>
              <w:jc w:val="left"/>
            </w:pPr>
            <w:r>
              <w:rPr>
                <w:sz w:val="22"/>
              </w:rPr>
              <w:t xml:space="preserve">Credit Hours at HOPE Loss </w:t>
            </w:r>
          </w:p>
        </w:tc>
        <w:tc>
          <w:tcPr>
            <w:tcW w:w="2877" w:type="dxa"/>
            <w:tcBorders>
              <w:top w:val="nil"/>
              <w:left w:val="nil"/>
              <w:bottom w:val="nil"/>
              <w:right w:val="nil"/>
            </w:tcBorders>
          </w:tcPr>
          <w:p w14:paraId="4EF89105" w14:textId="77777777" w:rsidR="004F3D34" w:rsidRDefault="0012463D">
            <w:pPr>
              <w:spacing w:after="0" w:line="259" w:lineRule="auto"/>
              <w:ind w:left="0" w:right="198" w:firstLine="0"/>
              <w:jc w:val="center"/>
            </w:pPr>
            <w:r>
              <w:rPr>
                <w:sz w:val="22"/>
              </w:rPr>
              <w:t xml:space="preserve">36 </w:t>
            </w:r>
          </w:p>
        </w:tc>
        <w:tc>
          <w:tcPr>
            <w:tcW w:w="2594" w:type="dxa"/>
            <w:tcBorders>
              <w:top w:val="nil"/>
              <w:left w:val="nil"/>
              <w:bottom w:val="nil"/>
              <w:right w:val="nil"/>
            </w:tcBorders>
          </w:tcPr>
          <w:p w14:paraId="30E04409" w14:textId="628617D0" w:rsidR="004F3D34" w:rsidRDefault="0012463D" w:rsidP="00D96E3E">
            <w:pPr>
              <w:spacing w:after="0" w:line="259" w:lineRule="auto"/>
              <w:ind w:left="0" w:right="183" w:firstLine="0"/>
              <w:jc w:val="center"/>
            </w:pPr>
            <w:r>
              <w:rPr>
                <w:sz w:val="22"/>
              </w:rPr>
              <w:t>35</w:t>
            </w:r>
          </w:p>
        </w:tc>
        <w:tc>
          <w:tcPr>
            <w:tcW w:w="1863" w:type="dxa"/>
            <w:tcBorders>
              <w:top w:val="nil"/>
              <w:left w:val="nil"/>
              <w:bottom w:val="nil"/>
              <w:right w:val="nil"/>
            </w:tcBorders>
          </w:tcPr>
          <w:p w14:paraId="269ED13B" w14:textId="77777777" w:rsidR="004F3D34" w:rsidRDefault="0012463D">
            <w:pPr>
              <w:spacing w:after="0" w:line="259" w:lineRule="auto"/>
              <w:ind w:left="0" w:right="46" w:firstLine="0"/>
              <w:jc w:val="center"/>
            </w:pPr>
            <w:r>
              <w:rPr>
                <w:sz w:val="22"/>
              </w:rPr>
              <w:t xml:space="preserve">50 </w:t>
            </w:r>
          </w:p>
        </w:tc>
      </w:tr>
      <w:tr w:rsidR="004F3D34" w14:paraId="0AFF2CE2" w14:textId="77777777">
        <w:trPr>
          <w:trHeight w:val="317"/>
        </w:trPr>
        <w:tc>
          <w:tcPr>
            <w:tcW w:w="2964" w:type="dxa"/>
            <w:tcBorders>
              <w:top w:val="nil"/>
              <w:left w:val="nil"/>
              <w:bottom w:val="nil"/>
              <w:right w:val="nil"/>
            </w:tcBorders>
          </w:tcPr>
          <w:p w14:paraId="2ACAE5C9" w14:textId="77777777" w:rsidR="004F3D34" w:rsidRDefault="0012463D">
            <w:pPr>
              <w:spacing w:after="0" w:line="259" w:lineRule="auto"/>
              <w:ind w:left="122" w:right="0" w:firstLine="0"/>
              <w:jc w:val="left"/>
            </w:pPr>
            <w:r>
              <w:rPr>
                <w:sz w:val="22"/>
              </w:rPr>
              <w:t xml:space="preserve">Black </w:t>
            </w:r>
          </w:p>
        </w:tc>
        <w:tc>
          <w:tcPr>
            <w:tcW w:w="2877" w:type="dxa"/>
            <w:tcBorders>
              <w:top w:val="nil"/>
              <w:left w:val="nil"/>
              <w:bottom w:val="nil"/>
              <w:right w:val="nil"/>
            </w:tcBorders>
          </w:tcPr>
          <w:p w14:paraId="44DE23F0" w14:textId="77777777" w:rsidR="004F3D34" w:rsidRDefault="0012463D">
            <w:pPr>
              <w:spacing w:after="0" w:line="259" w:lineRule="auto"/>
              <w:ind w:left="0" w:right="198" w:firstLine="0"/>
              <w:jc w:val="center"/>
            </w:pPr>
            <w:r>
              <w:rPr>
                <w:sz w:val="22"/>
              </w:rPr>
              <w:t xml:space="preserve">64% </w:t>
            </w:r>
          </w:p>
        </w:tc>
        <w:tc>
          <w:tcPr>
            <w:tcW w:w="2594" w:type="dxa"/>
            <w:tcBorders>
              <w:top w:val="nil"/>
              <w:left w:val="nil"/>
              <w:bottom w:val="nil"/>
              <w:right w:val="nil"/>
            </w:tcBorders>
          </w:tcPr>
          <w:p w14:paraId="191598D0" w14:textId="4D4C73A8" w:rsidR="004F3D34" w:rsidRDefault="0012463D" w:rsidP="00D96E3E">
            <w:pPr>
              <w:spacing w:after="0" w:line="259" w:lineRule="auto"/>
              <w:ind w:left="0" w:right="183" w:firstLine="0"/>
              <w:jc w:val="center"/>
            </w:pPr>
            <w:r>
              <w:rPr>
                <w:sz w:val="22"/>
              </w:rPr>
              <w:t>64%</w:t>
            </w:r>
          </w:p>
        </w:tc>
        <w:tc>
          <w:tcPr>
            <w:tcW w:w="1863" w:type="dxa"/>
            <w:tcBorders>
              <w:top w:val="nil"/>
              <w:left w:val="nil"/>
              <w:bottom w:val="nil"/>
              <w:right w:val="nil"/>
            </w:tcBorders>
          </w:tcPr>
          <w:p w14:paraId="6C94293E" w14:textId="77777777" w:rsidR="004F3D34" w:rsidRDefault="0012463D">
            <w:pPr>
              <w:spacing w:after="0" w:line="259" w:lineRule="auto"/>
              <w:ind w:left="0" w:right="47" w:firstLine="0"/>
              <w:jc w:val="center"/>
            </w:pPr>
            <w:r>
              <w:rPr>
                <w:sz w:val="22"/>
              </w:rPr>
              <w:t xml:space="preserve">47% </w:t>
            </w:r>
          </w:p>
        </w:tc>
      </w:tr>
      <w:tr w:rsidR="004F3D34" w14:paraId="6486A51F" w14:textId="77777777">
        <w:trPr>
          <w:trHeight w:val="317"/>
        </w:trPr>
        <w:tc>
          <w:tcPr>
            <w:tcW w:w="2964" w:type="dxa"/>
            <w:tcBorders>
              <w:top w:val="nil"/>
              <w:left w:val="nil"/>
              <w:bottom w:val="nil"/>
              <w:right w:val="nil"/>
            </w:tcBorders>
          </w:tcPr>
          <w:p w14:paraId="7A69893A" w14:textId="77777777" w:rsidR="004F3D34" w:rsidRDefault="0012463D">
            <w:pPr>
              <w:spacing w:after="0" w:line="259" w:lineRule="auto"/>
              <w:ind w:left="122" w:right="0" w:firstLine="0"/>
              <w:jc w:val="left"/>
            </w:pPr>
            <w:r>
              <w:rPr>
                <w:sz w:val="22"/>
              </w:rPr>
              <w:t xml:space="preserve">Hispanic </w:t>
            </w:r>
          </w:p>
        </w:tc>
        <w:tc>
          <w:tcPr>
            <w:tcW w:w="2877" w:type="dxa"/>
            <w:tcBorders>
              <w:top w:val="nil"/>
              <w:left w:val="nil"/>
              <w:bottom w:val="nil"/>
              <w:right w:val="nil"/>
            </w:tcBorders>
          </w:tcPr>
          <w:p w14:paraId="3DC27FF0" w14:textId="77777777" w:rsidR="004F3D34" w:rsidRDefault="0012463D">
            <w:pPr>
              <w:spacing w:after="0" w:line="259" w:lineRule="auto"/>
              <w:ind w:left="0" w:right="198" w:firstLine="0"/>
              <w:jc w:val="center"/>
            </w:pPr>
            <w:r>
              <w:rPr>
                <w:sz w:val="22"/>
              </w:rPr>
              <w:t xml:space="preserve">10% </w:t>
            </w:r>
          </w:p>
        </w:tc>
        <w:tc>
          <w:tcPr>
            <w:tcW w:w="2594" w:type="dxa"/>
            <w:tcBorders>
              <w:top w:val="nil"/>
              <w:left w:val="nil"/>
              <w:bottom w:val="nil"/>
              <w:right w:val="nil"/>
            </w:tcBorders>
          </w:tcPr>
          <w:p w14:paraId="69B2FC6B" w14:textId="08FDDFDB" w:rsidR="004F3D34" w:rsidRDefault="0012463D" w:rsidP="00D96E3E">
            <w:pPr>
              <w:spacing w:after="0" w:line="259" w:lineRule="auto"/>
              <w:ind w:left="0" w:right="183" w:firstLine="0"/>
              <w:jc w:val="center"/>
            </w:pPr>
            <w:r>
              <w:rPr>
                <w:sz w:val="22"/>
              </w:rPr>
              <w:t>10%</w:t>
            </w:r>
          </w:p>
        </w:tc>
        <w:tc>
          <w:tcPr>
            <w:tcW w:w="1863" w:type="dxa"/>
            <w:tcBorders>
              <w:top w:val="nil"/>
              <w:left w:val="nil"/>
              <w:bottom w:val="nil"/>
              <w:right w:val="nil"/>
            </w:tcBorders>
          </w:tcPr>
          <w:p w14:paraId="128A73BC" w14:textId="77777777" w:rsidR="004F3D34" w:rsidRDefault="0012463D">
            <w:pPr>
              <w:spacing w:after="0" w:line="259" w:lineRule="auto"/>
              <w:ind w:left="0" w:right="47" w:firstLine="0"/>
              <w:jc w:val="center"/>
            </w:pPr>
            <w:r>
              <w:rPr>
                <w:sz w:val="22"/>
              </w:rPr>
              <w:t xml:space="preserve">11% </w:t>
            </w:r>
          </w:p>
        </w:tc>
      </w:tr>
      <w:tr w:rsidR="004F3D34" w14:paraId="384DC22F" w14:textId="77777777">
        <w:trPr>
          <w:trHeight w:val="317"/>
        </w:trPr>
        <w:tc>
          <w:tcPr>
            <w:tcW w:w="2964" w:type="dxa"/>
            <w:tcBorders>
              <w:top w:val="nil"/>
              <w:left w:val="nil"/>
              <w:bottom w:val="nil"/>
              <w:right w:val="nil"/>
            </w:tcBorders>
          </w:tcPr>
          <w:p w14:paraId="1C798E73" w14:textId="77777777" w:rsidR="004F3D34" w:rsidRDefault="0012463D">
            <w:pPr>
              <w:spacing w:after="0" w:line="259" w:lineRule="auto"/>
              <w:ind w:left="122" w:right="0" w:firstLine="0"/>
              <w:jc w:val="left"/>
            </w:pPr>
            <w:r>
              <w:rPr>
                <w:sz w:val="22"/>
              </w:rPr>
              <w:t xml:space="preserve">Female </w:t>
            </w:r>
          </w:p>
        </w:tc>
        <w:tc>
          <w:tcPr>
            <w:tcW w:w="2877" w:type="dxa"/>
            <w:tcBorders>
              <w:top w:val="nil"/>
              <w:left w:val="nil"/>
              <w:bottom w:val="nil"/>
              <w:right w:val="nil"/>
            </w:tcBorders>
          </w:tcPr>
          <w:p w14:paraId="7E5A92BD" w14:textId="77777777" w:rsidR="004F3D34" w:rsidRDefault="0012463D">
            <w:pPr>
              <w:spacing w:after="0" w:line="259" w:lineRule="auto"/>
              <w:ind w:left="0" w:right="198" w:firstLine="0"/>
              <w:jc w:val="center"/>
            </w:pPr>
            <w:r>
              <w:rPr>
                <w:sz w:val="22"/>
              </w:rPr>
              <w:t xml:space="preserve">67% </w:t>
            </w:r>
          </w:p>
        </w:tc>
        <w:tc>
          <w:tcPr>
            <w:tcW w:w="2594" w:type="dxa"/>
            <w:tcBorders>
              <w:top w:val="nil"/>
              <w:left w:val="nil"/>
              <w:bottom w:val="nil"/>
              <w:right w:val="nil"/>
            </w:tcBorders>
          </w:tcPr>
          <w:p w14:paraId="73BC4901" w14:textId="0E8196A6" w:rsidR="004F3D34" w:rsidRDefault="0012463D" w:rsidP="00D96E3E">
            <w:pPr>
              <w:spacing w:after="0" w:line="259" w:lineRule="auto"/>
              <w:ind w:left="0" w:right="183" w:firstLine="0"/>
              <w:jc w:val="center"/>
            </w:pPr>
            <w:r>
              <w:rPr>
                <w:sz w:val="22"/>
              </w:rPr>
              <w:t>67%</w:t>
            </w:r>
          </w:p>
        </w:tc>
        <w:tc>
          <w:tcPr>
            <w:tcW w:w="1863" w:type="dxa"/>
            <w:tcBorders>
              <w:top w:val="nil"/>
              <w:left w:val="nil"/>
              <w:bottom w:val="nil"/>
              <w:right w:val="nil"/>
            </w:tcBorders>
          </w:tcPr>
          <w:p w14:paraId="19499E62" w14:textId="77777777" w:rsidR="004F3D34" w:rsidRDefault="0012463D">
            <w:pPr>
              <w:spacing w:after="0" w:line="259" w:lineRule="auto"/>
              <w:ind w:left="0" w:right="47" w:firstLine="0"/>
              <w:jc w:val="center"/>
            </w:pPr>
            <w:r>
              <w:rPr>
                <w:sz w:val="22"/>
              </w:rPr>
              <w:t xml:space="preserve">60% </w:t>
            </w:r>
          </w:p>
        </w:tc>
      </w:tr>
      <w:tr w:rsidR="004F3D34" w14:paraId="57E1C120" w14:textId="77777777">
        <w:trPr>
          <w:trHeight w:val="317"/>
        </w:trPr>
        <w:tc>
          <w:tcPr>
            <w:tcW w:w="2964" w:type="dxa"/>
            <w:tcBorders>
              <w:top w:val="nil"/>
              <w:left w:val="nil"/>
              <w:bottom w:val="nil"/>
              <w:right w:val="nil"/>
            </w:tcBorders>
          </w:tcPr>
          <w:p w14:paraId="1A1F61D7" w14:textId="77777777" w:rsidR="004F3D34" w:rsidRDefault="0012463D">
            <w:pPr>
              <w:spacing w:after="0" w:line="259" w:lineRule="auto"/>
              <w:ind w:left="122" w:right="0" w:firstLine="0"/>
              <w:jc w:val="left"/>
            </w:pPr>
            <w:r>
              <w:rPr>
                <w:sz w:val="22"/>
              </w:rPr>
              <w:t xml:space="preserve">First Generation </w:t>
            </w:r>
          </w:p>
        </w:tc>
        <w:tc>
          <w:tcPr>
            <w:tcW w:w="2877" w:type="dxa"/>
            <w:tcBorders>
              <w:top w:val="nil"/>
              <w:left w:val="nil"/>
              <w:bottom w:val="nil"/>
              <w:right w:val="nil"/>
            </w:tcBorders>
          </w:tcPr>
          <w:p w14:paraId="40F923A3" w14:textId="77777777" w:rsidR="004F3D34" w:rsidRDefault="0012463D">
            <w:pPr>
              <w:spacing w:after="0" w:line="259" w:lineRule="auto"/>
              <w:ind w:left="0" w:right="198" w:firstLine="0"/>
              <w:jc w:val="center"/>
            </w:pPr>
            <w:r>
              <w:rPr>
                <w:sz w:val="22"/>
              </w:rPr>
              <w:t xml:space="preserve">22% </w:t>
            </w:r>
          </w:p>
        </w:tc>
        <w:tc>
          <w:tcPr>
            <w:tcW w:w="2594" w:type="dxa"/>
            <w:tcBorders>
              <w:top w:val="nil"/>
              <w:left w:val="nil"/>
              <w:bottom w:val="nil"/>
              <w:right w:val="nil"/>
            </w:tcBorders>
          </w:tcPr>
          <w:p w14:paraId="30D8F656" w14:textId="1C7D19BA" w:rsidR="004F3D34" w:rsidRDefault="0012463D" w:rsidP="00D96E3E">
            <w:pPr>
              <w:spacing w:after="0" w:line="259" w:lineRule="auto"/>
              <w:ind w:left="0" w:right="183" w:firstLine="0"/>
              <w:jc w:val="center"/>
            </w:pPr>
            <w:r>
              <w:rPr>
                <w:sz w:val="22"/>
              </w:rPr>
              <w:t>22%</w:t>
            </w:r>
          </w:p>
        </w:tc>
        <w:tc>
          <w:tcPr>
            <w:tcW w:w="1863" w:type="dxa"/>
            <w:tcBorders>
              <w:top w:val="nil"/>
              <w:left w:val="nil"/>
              <w:bottom w:val="nil"/>
              <w:right w:val="nil"/>
            </w:tcBorders>
          </w:tcPr>
          <w:p w14:paraId="0E6F1E15" w14:textId="77777777" w:rsidR="004F3D34" w:rsidRDefault="0012463D">
            <w:pPr>
              <w:spacing w:after="0" w:line="259" w:lineRule="auto"/>
              <w:ind w:left="0" w:right="47" w:firstLine="0"/>
              <w:jc w:val="center"/>
            </w:pPr>
            <w:r>
              <w:rPr>
                <w:sz w:val="22"/>
              </w:rPr>
              <w:t xml:space="preserve">22% </w:t>
            </w:r>
          </w:p>
        </w:tc>
      </w:tr>
      <w:tr w:rsidR="004F3D34" w14:paraId="63D4C379" w14:textId="77777777">
        <w:trPr>
          <w:trHeight w:val="358"/>
        </w:trPr>
        <w:tc>
          <w:tcPr>
            <w:tcW w:w="2964" w:type="dxa"/>
            <w:tcBorders>
              <w:top w:val="nil"/>
              <w:left w:val="nil"/>
              <w:bottom w:val="single" w:sz="12" w:space="0" w:color="000000"/>
              <w:right w:val="nil"/>
            </w:tcBorders>
          </w:tcPr>
          <w:p w14:paraId="0ABADCFE" w14:textId="77777777" w:rsidR="004F3D34" w:rsidRDefault="0012463D">
            <w:pPr>
              <w:spacing w:after="0" w:line="259" w:lineRule="auto"/>
              <w:ind w:left="122" w:right="0" w:firstLine="0"/>
              <w:jc w:val="left"/>
            </w:pPr>
            <w:r>
              <w:rPr>
                <w:sz w:val="22"/>
              </w:rPr>
              <w:t xml:space="preserve">Pell Recipient </w:t>
            </w:r>
          </w:p>
        </w:tc>
        <w:tc>
          <w:tcPr>
            <w:tcW w:w="2877" w:type="dxa"/>
            <w:tcBorders>
              <w:top w:val="nil"/>
              <w:left w:val="nil"/>
              <w:bottom w:val="single" w:sz="12" w:space="0" w:color="000000"/>
              <w:right w:val="nil"/>
            </w:tcBorders>
          </w:tcPr>
          <w:p w14:paraId="3DBCB31F" w14:textId="77777777" w:rsidR="004F3D34" w:rsidRDefault="0012463D">
            <w:pPr>
              <w:spacing w:after="0" w:line="259" w:lineRule="auto"/>
              <w:ind w:left="0" w:right="198" w:firstLine="0"/>
              <w:jc w:val="center"/>
            </w:pPr>
            <w:r>
              <w:rPr>
                <w:sz w:val="22"/>
              </w:rPr>
              <w:t xml:space="preserve">71% </w:t>
            </w:r>
          </w:p>
        </w:tc>
        <w:tc>
          <w:tcPr>
            <w:tcW w:w="2594" w:type="dxa"/>
            <w:tcBorders>
              <w:top w:val="nil"/>
              <w:left w:val="nil"/>
              <w:bottom w:val="single" w:sz="12" w:space="0" w:color="000000"/>
              <w:right w:val="nil"/>
            </w:tcBorders>
          </w:tcPr>
          <w:p w14:paraId="0B30849B" w14:textId="0650A9A0" w:rsidR="004F3D34" w:rsidRDefault="0012463D" w:rsidP="00D96E3E">
            <w:pPr>
              <w:spacing w:after="0" w:line="259" w:lineRule="auto"/>
              <w:ind w:left="0" w:right="183" w:firstLine="0"/>
              <w:jc w:val="center"/>
            </w:pPr>
            <w:r>
              <w:rPr>
                <w:sz w:val="22"/>
              </w:rPr>
              <w:t>71%</w:t>
            </w:r>
          </w:p>
        </w:tc>
        <w:tc>
          <w:tcPr>
            <w:tcW w:w="1863" w:type="dxa"/>
            <w:tcBorders>
              <w:top w:val="nil"/>
              <w:left w:val="nil"/>
              <w:bottom w:val="single" w:sz="12" w:space="0" w:color="000000"/>
              <w:right w:val="nil"/>
            </w:tcBorders>
          </w:tcPr>
          <w:p w14:paraId="5F5BE7B4" w14:textId="77777777" w:rsidR="004F3D34" w:rsidRDefault="0012463D">
            <w:pPr>
              <w:spacing w:after="0" w:line="259" w:lineRule="auto"/>
              <w:ind w:left="0" w:right="47" w:firstLine="0"/>
              <w:jc w:val="center"/>
            </w:pPr>
            <w:r>
              <w:rPr>
                <w:sz w:val="22"/>
              </w:rPr>
              <w:t xml:space="preserve">61% </w:t>
            </w:r>
          </w:p>
        </w:tc>
      </w:tr>
    </w:tbl>
    <w:p w14:paraId="745BE60D" w14:textId="77777777" w:rsidR="004F3D34" w:rsidRDefault="0012463D">
      <w:pPr>
        <w:spacing w:after="182" w:line="259" w:lineRule="auto"/>
        <w:ind w:left="0" w:right="0" w:firstLine="0"/>
        <w:jc w:val="left"/>
      </w:pPr>
      <w:r>
        <w:rPr>
          <w:rFonts w:ascii="Cambria" w:eastAsia="Cambria" w:hAnsi="Cambria" w:cs="Cambria"/>
        </w:rPr>
        <w:t xml:space="preserve"> </w:t>
      </w:r>
    </w:p>
    <w:p w14:paraId="04956C8C" w14:textId="77777777" w:rsidR="004F3D34" w:rsidRDefault="0012463D">
      <w:pPr>
        <w:spacing w:after="0" w:line="259" w:lineRule="auto"/>
        <w:ind w:left="0" w:right="0" w:firstLine="0"/>
        <w:jc w:val="left"/>
      </w:pPr>
      <w:r>
        <w:rPr>
          <w:rFonts w:ascii="Arial" w:eastAsia="Arial" w:hAnsi="Arial" w:cs="Arial"/>
        </w:rPr>
        <w:t xml:space="preserve"> </w:t>
      </w:r>
      <w:r>
        <w:rPr>
          <w:rFonts w:ascii="Arial" w:eastAsia="Arial" w:hAnsi="Arial" w:cs="Arial"/>
        </w:rPr>
        <w:tab/>
      </w:r>
      <w:r>
        <w:t xml:space="preserve"> </w:t>
      </w:r>
    </w:p>
    <w:p w14:paraId="7371F905" w14:textId="77777777" w:rsidR="004F3D34" w:rsidRDefault="0012463D">
      <w:pPr>
        <w:pStyle w:val="Heading1"/>
        <w:ind w:left="-5"/>
      </w:pPr>
      <w:bookmarkStart w:id="3" w:name="_Toc6502"/>
      <w:r>
        <w:lastRenderedPageBreak/>
        <w:t xml:space="preserve">Results </w:t>
      </w:r>
      <w:bookmarkEnd w:id="3"/>
    </w:p>
    <w:p w14:paraId="766B1D90" w14:textId="77777777" w:rsidR="004F3D34" w:rsidRDefault="0012463D">
      <w:pPr>
        <w:pStyle w:val="Heading3"/>
        <w:ind w:left="-5"/>
      </w:pPr>
      <w:r>
        <w:t xml:space="preserve">Impact on Regaining HOPE </w:t>
      </w:r>
    </w:p>
    <w:p w14:paraId="065A1B1F" w14:textId="77777777" w:rsidR="004F3D34" w:rsidRDefault="0012463D">
      <w:pPr>
        <w:ind w:left="-15" w:right="0" w:firstLine="360"/>
      </w:pPr>
      <w:r>
        <w:t xml:space="preserve">The results of the logistic regression show that KHA recipients are 1.9 times more likely to regain HOPE than non-recipients (Figure 2; confidence interval: 1.50-2.51; p &lt;0.001). 57% of KHA recipients regained HOPE, compared to only 41% of non-recipient students (Figure 3), an increase of 16 percentage points. The increase in regain rates was largest for Hispanic students (+21 pp), followed by First Generation (+19 pp), Black (+18 pp), and Pell students (+17 pp).  </w:t>
      </w:r>
      <w:r>
        <w:rPr>
          <w:rFonts w:ascii="Cambria" w:eastAsia="Cambria" w:hAnsi="Cambria" w:cs="Cambria"/>
        </w:rPr>
        <w:t xml:space="preserve"> </w:t>
      </w:r>
    </w:p>
    <w:p w14:paraId="49CF26D7" w14:textId="77777777" w:rsidR="004F3D34" w:rsidRDefault="0012463D">
      <w:pPr>
        <w:pStyle w:val="Heading3"/>
        <w:ind w:left="-5"/>
      </w:pPr>
      <w:r>
        <w:t xml:space="preserve">Impact on 6-year Graduation </w:t>
      </w:r>
    </w:p>
    <w:p w14:paraId="65875294" w14:textId="34B7E678" w:rsidR="004F3D34" w:rsidRDefault="0012463D" w:rsidP="00021112">
      <w:pPr>
        <w:spacing w:after="0"/>
        <w:ind w:left="-15" w:right="0" w:firstLine="360"/>
      </w:pPr>
      <w:r>
        <w:t xml:space="preserve">The results of the logistic regression show that KHA recipients are 2.1 times more likely to graduate than non-recipients (Figure 2; confidence interval: 1.60-2.73; p &lt;0.001). Specifically, 78% of KHA recipients graduated within six years of enrolling, compared to only 63% of nonrecipients (Figure 4), an increase of 15 percentage points. The largest gains were for Black and Pell students, whose graduation rates increased by 19 and 17 percentage points, respectively (Figure </w:t>
      </w:r>
      <w:r>
        <w:t xml:space="preserve">4). </w:t>
      </w:r>
      <w:r>
        <w:rPr>
          <w:rFonts w:ascii="Cambria" w:eastAsia="Cambria" w:hAnsi="Cambria" w:cs="Cambria"/>
        </w:rPr>
        <w:t xml:space="preserve"> </w:t>
      </w:r>
    </w:p>
    <w:p w14:paraId="1377E7DD" w14:textId="77777777" w:rsidR="004F3D34" w:rsidRDefault="0012463D">
      <w:pPr>
        <w:spacing w:after="174" w:line="259" w:lineRule="auto"/>
        <w:ind w:left="360" w:right="0" w:firstLine="0"/>
        <w:jc w:val="left"/>
      </w:pPr>
      <w:r>
        <w:rPr>
          <w:rFonts w:ascii="Cambria" w:eastAsia="Cambria" w:hAnsi="Cambria" w:cs="Cambria"/>
        </w:rPr>
        <w:t xml:space="preserve"> </w:t>
      </w:r>
    </w:p>
    <w:p w14:paraId="7A06B291" w14:textId="77777777" w:rsidR="004F3D34" w:rsidRDefault="0012463D">
      <w:pPr>
        <w:pStyle w:val="Heading3"/>
        <w:spacing w:after="8"/>
        <w:ind w:left="-5"/>
      </w:pPr>
      <w:r>
        <w:t xml:space="preserve">Figure 2: Odd Ratios for regaining HOPE and graduating </w:t>
      </w:r>
    </w:p>
    <w:p w14:paraId="6DFD6819" w14:textId="77777777" w:rsidR="004F3D34" w:rsidRDefault="0012463D">
      <w:pPr>
        <w:spacing w:after="283" w:line="259" w:lineRule="auto"/>
        <w:ind w:left="0" w:right="0" w:firstLine="0"/>
        <w:jc w:val="left"/>
      </w:pPr>
      <w:r>
        <w:rPr>
          <w:rFonts w:ascii="Cambria" w:eastAsia="Cambria" w:hAnsi="Cambria" w:cs="Cambria"/>
          <w:sz w:val="8"/>
        </w:rPr>
        <w:t xml:space="preserve"> </w:t>
      </w:r>
    </w:p>
    <w:p w14:paraId="2D8F7800" w14:textId="77777777" w:rsidR="004F3D34" w:rsidRDefault="0012463D">
      <w:pPr>
        <w:spacing w:after="102" w:line="259" w:lineRule="auto"/>
        <w:ind w:left="0" w:right="164" w:firstLine="0"/>
        <w:jc w:val="right"/>
      </w:pPr>
      <w:r>
        <w:rPr>
          <w:noProof/>
        </w:rPr>
        <w:drawing>
          <wp:inline distT="0" distB="0" distL="0" distR="0" wp14:anchorId="72476C3D" wp14:editId="3910616A">
            <wp:extent cx="6034405" cy="2785110"/>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9"/>
                    <a:stretch>
                      <a:fillRect/>
                    </a:stretch>
                  </pic:blipFill>
                  <pic:spPr>
                    <a:xfrm>
                      <a:off x="0" y="0"/>
                      <a:ext cx="6034405" cy="2785110"/>
                    </a:xfrm>
                    <a:prstGeom prst="rect">
                      <a:avLst/>
                    </a:prstGeom>
                  </pic:spPr>
                </pic:pic>
              </a:graphicData>
            </a:graphic>
          </wp:inline>
        </w:drawing>
      </w:r>
      <w:r>
        <w:rPr>
          <w:rFonts w:ascii="Cambria" w:eastAsia="Cambria" w:hAnsi="Cambria" w:cs="Cambria"/>
        </w:rPr>
        <w:t xml:space="preserve"> </w:t>
      </w:r>
    </w:p>
    <w:p w14:paraId="73FB67A5" w14:textId="77777777" w:rsidR="004F3D34" w:rsidRDefault="0012463D">
      <w:pPr>
        <w:spacing w:after="0" w:line="390" w:lineRule="auto"/>
        <w:ind w:left="0" w:right="9886" w:firstLine="0"/>
        <w:jc w:val="left"/>
      </w:pPr>
      <w:r>
        <w:rPr>
          <w:rFonts w:ascii="Cambria" w:eastAsia="Cambria" w:hAnsi="Cambria" w:cs="Cambria"/>
        </w:rPr>
        <w:t xml:space="preserve">    </w:t>
      </w:r>
    </w:p>
    <w:p w14:paraId="0EC4285E" w14:textId="77777777" w:rsidR="004F3D34" w:rsidRDefault="0012463D">
      <w:pPr>
        <w:pStyle w:val="Heading3"/>
        <w:spacing w:after="118"/>
        <w:ind w:left="-5"/>
      </w:pPr>
      <w:r>
        <w:lastRenderedPageBreak/>
        <w:t xml:space="preserve">Figure 3: Percentage of students who regain HOPE, displayed by student group </w:t>
      </w:r>
    </w:p>
    <w:p w14:paraId="164D68B4" w14:textId="77777777" w:rsidR="004F3D34" w:rsidRDefault="0012463D">
      <w:pPr>
        <w:spacing w:after="25" w:line="259" w:lineRule="auto"/>
        <w:ind w:left="0" w:right="598" w:firstLine="0"/>
        <w:jc w:val="right"/>
      </w:pPr>
      <w:r>
        <w:rPr>
          <w:noProof/>
        </w:rPr>
        <w:drawing>
          <wp:inline distT="0" distB="0" distL="0" distR="0" wp14:anchorId="4475F6A6" wp14:editId="7C8421A8">
            <wp:extent cx="5482590" cy="3655060"/>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0"/>
                    <a:stretch>
                      <a:fillRect/>
                    </a:stretch>
                  </pic:blipFill>
                  <pic:spPr>
                    <a:xfrm>
                      <a:off x="0" y="0"/>
                      <a:ext cx="5482590" cy="3655060"/>
                    </a:xfrm>
                    <a:prstGeom prst="rect">
                      <a:avLst/>
                    </a:prstGeom>
                  </pic:spPr>
                </pic:pic>
              </a:graphicData>
            </a:graphic>
          </wp:inline>
        </w:drawing>
      </w:r>
      <w:r>
        <w:rPr>
          <w:rFonts w:ascii="Cambria" w:eastAsia="Cambria" w:hAnsi="Cambria" w:cs="Cambria"/>
        </w:rPr>
        <w:t xml:space="preserve"> </w:t>
      </w:r>
    </w:p>
    <w:p w14:paraId="32B690F7" w14:textId="77777777" w:rsidR="004F3D34" w:rsidRDefault="0012463D">
      <w:pPr>
        <w:spacing w:after="256" w:line="259" w:lineRule="auto"/>
        <w:ind w:left="0" w:right="0" w:firstLine="0"/>
        <w:jc w:val="left"/>
      </w:pPr>
      <w:r>
        <w:rPr>
          <w:rFonts w:ascii="Cambria" w:eastAsia="Cambria" w:hAnsi="Cambria" w:cs="Cambria"/>
          <w:sz w:val="16"/>
        </w:rPr>
        <w:t xml:space="preserve"> </w:t>
      </w:r>
    </w:p>
    <w:p w14:paraId="20E429D3" w14:textId="77777777" w:rsidR="004F3D34" w:rsidRDefault="0012463D">
      <w:pPr>
        <w:pStyle w:val="Heading3"/>
        <w:spacing w:after="119"/>
        <w:ind w:left="-5"/>
      </w:pPr>
      <w:r>
        <w:t xml:space="preserve">Figure 4: 6-year graduation rates, displayed by student group </w:t>
      </w:r>
    </w:p>
    <w:p w14:paraId="6C25522D" w14:textId="77777777" w:rsidR="004F3D34" w:rsidRDefault="0012463D">
      <w:pPr>
        <w:spacing w:after="0" w:line="259" w:lineRule="auto"/>
        <w:ind w:left="0" w:right="598" w:firstLine="0"/>
        <w:jc w:val="right"/>
      </w:pPr>
      <w:r>
        <w:rPr>
          <w:noProof/>
        </w:rPr>
        <w:drawing>
          <wp:inline distT="0" distB="0" distL="0" distR="0" wp14:anchorId="740C24B0" wp14:editId="10E85B1E">
            <wp:extent cx="5482590" cy="3655059"/>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1"/>
                    <a:stretch>
                      <a:fillRect/>
                    </a:stretch>
                  </pic:blipFill>
                  <pic:spPr>
                    <a:xfrm>
                      <a:off x="0" y="0"/>
                      <a:ext cx="5482590" cy="3655059"/>
                    </a:xfrm>
                    <a:prstGeom prst="rect">
                      <a:avLst/>
                    </a:prstGeom>
                  </pic:spPr>
                </pic:pic>
              </a:graphicData>
            </a:graphic>
          </wp:inline>
        </w:drawing>
      </w:r>
      <w:r>
        <w:rPr>
          <w:rFonts w:ascii="Cambria" w:eastAsia="Cambria" w:hAnsi="Cambria" w:cs="Cambria"/>
        </w:rPr>
        <w:t xml:space="preserve"> </w:t>
      </w:r>
    </w:p>
    <w:p w14:paraId="6ECE6FF9" w14:textId="77777777" w:rsidR="004F3D34" w:rsidRDefault="0012463D">
      <w:pPr>
        <w:spacing w:after="0" w:line="259" w:lineRule="auto"/>
        <w:ind w:left="0" w:right="0" w:firstLine="0"/>
        <w:jc w:val="left"/>
      </w:pPr>
      <w:r>
        <w:rPr>
          <w:rFonts w:ascii="Cambria" w:eastAsia="Cambria" w:hAnsi="Cambria" w:cs="Cambria"/>
          <w:sz w:val="2"/>
        </w:rPr>
        <w:lastRenderedPageBreak/>
        <w:t xml:space="preserve"> </w:t>
      </w:r>
    </w:p>
    <w:p w14:paraId="00AA8564" w14:textId="77777777" w:rsidR="004F3D34" w:rsidRDefault="0012463D">
      <w:pPr>
        <w:pStyle w:val="Heading1"/>
        <w:ind w:left="-5"/>
      </w:pPr>
      <w:bookmarkStart w:id="4" w:name="_Toc6503"/>
      <w:r>
        <w:t xml:space="preserve">Conclusions </w:t>
      </w:r>
      <w:bookmarkEnd w:id="4"/>
    </w:p>
    <w:p w14:paraId="28CC1064" w14:textId="77777777" w:rsidR="004F3D34" w:rsidRDefault="0012463D">
      <w:pPr>
        <w:ind w:left="-15" w:right="0" w:firstLine="360"/>
      </w:pPr>
      <w:r>
        <w:t xml:space="preserve">This project aimed to assess the effect of receiving the KHA scholarship on regaining the HOPE scholarship and graduating. The findings demonstrate that the KHA program increases the number of students who regain HOPE and graduate compared to non-recipients with similar demographic, socioeconomic, and academic performance characteristics. Furthermore, the percentage point improvements in the HOPE regain rates for Black, Hispanic, first-generation, and Pell recipient students were larger than the regain </w:t>
      </w:r>
      <w:proofErr w:type="gramStart"/>
      <w:r>
        <w:t>rate</w:t>
      </w:r>
      <w:proofErr w:type="gramEnd"/>
      <w:r>
        <w:t xml:space="preserve"> for all students combined. Similarly, the largest gains in graduation rates were for Black students and Pell recipients. These findings provide compelling evidence that scholarship programs like KHA benefit all students and are particularly impactful for students from underserved backgrounds. </w:t>
      </w:r>
    </w:p>
    <w:p w14:paraId="379D959C" w14:textId="77777777" w:rsidR="004F3D34" w:rsidRDefault="0012463D">
      <w:pPr>
        <w:spacing w:after="0" w:line="399" w:lineRule="auto"/>
        <w:ind w:left="0" w:right="9874" w:firstLine="0"/>
        <w:jc w:val="left"/>
      </w:pPr>
      <w:r>
        <w:rPr>
          <w:rFonts w:ascii="Cambria" w:eastAsia="Cambria" w:hAnsi="Cambria" w:cs="Cambria"/>
        </w:rPr>
        <w:t xml:space="preserve">               </w:t>
      </w:r>
      <w:r>
        <w:rPr>
          <w:b/>
          <w:sz w:val="32"/>
        </w:rPr>
        <w:t xml:space="preserve"> </w:t>
      </w:r>
    </w:p>
    <w:p w14:paraId="33815960" w14:textId="77777777" w:rsidR="004F3D34" w:rsidRDefault="0012463D">
      <w:pPr>
        <w:spacing w:after="0" w:line="259" w:lineRule="auto"/>
        <w:ind w:left="0" w:right="0" w:firstLine="0"/>
        <w:jc w:val="left"/>
        <w:rPr>
          <w:rFonts w:ascii="Cambria" w:eastAsia="Cambria" w:hAnsi="Cambria" w:cs="Cambria"/>
        </w:rPr>
      </w:pPr>
      <w:r>
        <w:rPr>
          <w:rFonts w:ascii="Cambria" w:eastAsia="Cambria" w:hAnsi="Cambria" w:cs="Cambria"/>
        </w:rPr>
        <w:t xml:space="preserve"> </w:t>
      </w:r>
    </w:p>
    <w:p w14:paraId="0952D848" w14:textId="77777777" w:rsidR="00021112" w:rsidRDefault="00021112">
      <w:pPr>
        <w:spacing w:after="0" w:line="259" w:lineRule="auto"/>
        <w:ind w:left="0" w:right="0" w:firstLine="0"/>
        <w:jc w:val="left"/>
        <w:rPr>
          <w:rFonts w:ascii="Cambria" w:eastAsia="Cambria" w:hAnsi="Cambria" w:cs="Cambria"/>
        </w:rPr>
      </w:pPr>
    </w:p>
    <w:p w14:paraId="14152A23" w14:textId="77777777" w:rsidR="00021112" w:rsidRDefault="00021112">
      <w:pPr>
        <w:spacing w:after="0" w:line="259" w:lineRule="auto"/>
        <w:ind w:left="0" w:right="0" w:firstLine="0"/>
        <w:jc w:val="left"/>
        <w:rPr>
          <w:rFonts w:ascii="Cambria" w:eastAsia="Cambria" w:hAnsi="Cambria" w:cs="Cambria"/>
        </w:rPr>
      </w:pPr>
    </w:p>
    <w:p w14:paraId="497C3ECF" w14:textId="77777777" w:rsidR="00021112" w:rsidRDefault="00021112">
      <w:pPr>
        <w:spacing w:after="0" w:line="259" w:lineRule="auto"/>
        <w:ind w:left="0" w:right="0" w:firstLine="0"/>
        <w:jc w:val="left"/>
        <w:rPr>
          <w:rFonts w:ascii="Cambria" w:eastAsia="Cambria" w:hAnsi="Cambria" w:cs="Cambria"/>
        </w:rPr>
      </w:pPr>
    </w:p>
    <w:p w14:paraId="58973450" w14:textId="77777777" w:rsidR="00021112" w:rsidRDefault="00021112">
      <w:pPr>
        <w:spacing w:after="0" w:line="259" w:lineRule="auto"/>
        <w:ind w:left="0" w:right="0" w:firstLine="0"/>
        <w:jc w:val="left"/>
        <w:rPr>
          <w:rFonts w:ascii="Cambria" w:eastAsia="Cambria" w:hAnsi="Cambria" w:cs="Cambria"/>
        </w:rPr>
      </w:pPr>
    </w:p>
    <w:p w14:paraId="2B31E73C" w14:textId="77777777" w:rsidR="00021112" w:rsidRDefault="00021112">
      <w:pPr>
        <w:spacing w:after="0" w:line="259" w:lineRule="auto"/>
        <w:ind w:left="0" w:right="0" w:firstLine="0"/>
        <w:jc w:val="left"/>
        <w:rPr>
          <w:rFonts w:ascii="Cambria" w:eastAsia="Cambria" w:hAnsi="Cambria" w:cs="Cambria"/>
        </w:rPr>
      </w:pPr>
    </w:p>
    <w:p w14:paraId="64825324" w14:textId="77777777" w:rsidR="00021112" w:rsidRDefault="00021112">
      <w:pPr>
        <w:spacing w:after="0" w:line="259" w:lineRule="auto"/>
        <w:ind w:left="0" w:right="0" w:firstLine="0"/>
        <w:jc w:val="left"/>
        <w:rPr>
          <w:rFonts w:ascii="Cambria" w:eastAsia="Cambria" w:hAnsi="Cambria" w:cs="Cambria"/>
        </w:rPr>
      </w:pPr>
    </w:p>
    <w:p w14:paraId="636F2100" w14:textId="77777777" w:rsidR="00021112" w:rsidRDefault="00021112">
      <w:pPr>
        <w:spacing w:after="0" w:line="259" w:lineRule="auto"/>
        <w:ind w:left="0" w:right="0" w:firstLine="0"/>
        <w:jc w:val="left"/>
        <w:rPr>
          <w:rFonts w:ascii="Cambria" w:eastAsia="Cambria" w:hAnsi="Cambria" w:cs="Cambria"/>
        </w:rPr>
      </w:pPr>
    </w:p>
    <w:p w14:paraId="22827F5E" w14:textId="77777777" w:rsidR="00021112" w:rsidRDefault="00021112">
      <w:pPr>
        <w:spacing w:after="0" w:line="259" w:lineRule="auto"/>
        <w:ind w:left="0" w:right="0" w:firstLine="0"/>
        <w:jc w:val="left"/>
        <w:rPr>
          <w:rFonts w:ascii="Cambria" w:eastAsia="Cambria" w:hAnsi="Cambria" w:cs="Cambria"/>
        </w:rPr>
      </w:pPr>
    </w:p>
    <w:p w14:paraId="49BE0B2D" w14:textId="77777777" w:rsidR="00021112" w:rsidRDefault="00021112">
      <w:pPr>
        <w:spacing w:after="0" w:line="259" w:lineRule="auto"/>
        <w:ind w:left="0" w:right="0" w:firstLine="0"/>
        <w:jc w:val="left"/>
        <w:rPr>
          <w:rFonts w:ascii="Cambria" w:eastAsia="Cambria" w:hAnsi="Cambria" w:cs="Cambria"/>
        </w:rPr>
      </w:pPr>
    </w:p>
    <w:p w14:paraId="14257F0D" w14:textId="77777777" w:rsidR="00021112" w:rsidRDefault="00021112">
      <w:pPr>
        <w:spacing w:after="0" w:line="259" w:lineRule="auto"/>
        <w:ind w:left="0" w:right="0" w:firstLine="0"/>
        <w:jc w:val="left"/>
        <w:rPr>
          <w:rFonts w:ascii="Cambria" w:eastAsia="Cambria" w:hAnsi="Cambria" w:cs="Cambria"/>
        </w:rPr>
      </w:pPr>
    </w:p>
    <w:p w14:paraId="3AEA5798" w14:textId="77777777" w:rsidR="00021112" w:rsidRDefault="00021112">
      <w:pPr>
        <w:spacing w:after="0" w:line="259" w:lineRule="auto"/>
        <w:ind w:left="0" w:right="0" w:firstLine="0"/>
        <w:jc w:val="left"/>
        <w:rPr>
          <w:rFonts w:ascii="Cambria" w:eastAsia="Cambria" w:hAnsi="Cambria" w:cs="Cambria"/>
        </w:rPr>
      </w:pPr>
    </w:p>
    <w:p w14:paraId="6E4413B7" w14:textId="77777777" w:rsidR="00021112" w:rsidRDefault="00021112">
      <w:pPr>
        <w:spacing w:after="0" w:line="259" w:lineRule="auto"/>
        <w:ind w:left="0" w:right="0" w:firstLine="0"/>
        <w:jc w:val="left"/>
        <w:rPr>
          <w:rFonts w:ascii="Cambria" w:eastAsia="Cambria" w:hAnsi="Cambria" w:cs="Cambria"/>
        </w:rPr>
      </w:pPr>
    </w:p>
    <w:p w14:paraId="5C22E79C" w14:textId="77777777" w:rsidR="00021112" w:rsidRDefault="00021112">
      <w:pPr>
        <w:spacing w:after="0" w:line="259" w:lineRule="auto"/>
        <w:ind w:left="0" w:right="0" w:firstLine="0"/>
        <w:jc w:val="left"/>
        <w:rPr>
          <w:rFonts w:ascii="Cambria" w:eastAsia="Cambria" w:hAnsi="Cambria" w:cs="Cambria"/>
        </w:rPr>
      </w:pPr>
    </w:p>
    <w:p w14:paraId="1555B856" w14:textId="77777777" w:rsidR="00021112" w:rsidRDefault="00021112">
      <w:pPr>
        <w:spacing w:after="0" w:line="259" w:lineRule="auto"/>
        <w:ind w:left="0" w:right="0" w:firstLine="0"/>
        <w:jc w:val="left"/>
        <w:rPr>
          <w:rFonts w:ascii="Cambria" w:eastAsia="Cambria" w:hAnsi="Cambria" w:cs="Cambria"/>
        </w:rPr>
      </w:pPr>
    </w:p>
    <w:p w14:paraId="40B88254" w14:textId="77777777" w:rsidR="00021112" w:rsidRDefault="00021112">
      <w:pPr>
        <w:spacing w:after="0" w:line="259" w:lineRule="auto"/>
        <w:ind w:left="0" w:right="0" w:firstLine="0"/>
        <w:jc w:val="left"/>
        <w:rPr>
          <w:rFonts w:ascii="Cambria" w:eastAsia="Cambria" w:hAnsi="Cambria" w:cs="Cambria"/>
        </w:rPr>
      </w:pPr>
    </w:p>
    <w:p w14:paraId="3FA6F157" w14:textId="77777777" w:rsidR="00021112" w:rsidRDefault="00021112">
      <w:pPr>
        <w:spacing w:after="0" w:line="259" w:lineRule="auto"/>
        <w:ind w:left="0" w:right="0" w:firstLine="0"/>
        <w:jc w:val="left"/>
        <w:rPr>
          <w:rFonts w:ascii="Cambria" w:eastAsia="Cambria" w:hAnsi="Cambria" w:cs="Cambria"/>
        </w:rPr>
      </w:pPr>
    </w:p>
    <w:p w14:paraId="7CF8DF92" w14:textId="77777777" w:rsidR="00021112" w:rsidRDefault="00021112">
      <w:pPr>
        <w:spacing w:after="0" w:line="259" w:lineRule="auto"/>
        <w:ind w:left="0" w:right="0" w:firstLine="0"/>
        <w:jc w:val="left"/>
        <w:rPr>
          <w:rFonts w:ascii="Cambria" w:eastAsia="Cambria" w:hAnsi="Cambria" w:cs="Cambria"/>
        </w:rPr>
      </w:pPr>
    </w:p>
    <w:p w14:paraId="71C626BB" w14:textId="77777777" w:rsidR="00021112" w:rsidRDefault="00021112">
      <w:pPr>
        <w:spacing w:after="0" w:line="259" w:lineRule="auto"/>
        <w:ind w:left="0" w:right="0" w:firstLine="0"/>
        <w:jc w:val="left"/>
        <w:rPr>
          <w:rFonts w:ascii="Cambria" w:eastAsia="Cambria" w:hAnsi="Cambria" w:cs="Cambria"/>
        </w:rPr>
      </w:pPr>
    </w:p>
    <w:p w14:paraId="0ECD2D18" w14:textId="77777777" w:rsidR="00021112" w:rsidRDefault="00021112">
      <w:pPr>
        <w:spacing w:after="0" w:line="259" w:lineRule="auto"/>
        <w:ind w:left="0" w:right="0" w:firstLine="0"/>
        <w:jc w:val="left"/>
        <w:rPr>
          <w:rFonts w:ascii="Cambria" w:eastAsia="Cambria" w:hAnsi="Cambria" w:cs="Cambria"/>
        </w:rPr>
      </w:pPr>
    </w:p>
    <w:p w14:paraId="1FFE700F" w14:textId="77777777" w:rsidR="00021112" w:rsidRDefault="00021112">
      <w:pPr>
        <w:spacing w:after="0" w:line="259" w:lineRule="auto"/>
        <w:ind w:left="0" w:right="0" w:firstLine="0"/>
        <w:jc w:val="left"/>
        <w:rPr>
          <w:rFonts w:ascii="Cambria" w:eastAsia="Cambria" w:hAnsi="Cambria" w:cs="Cambria"/>
        </w:rPr>
      </w:pPr>
    </w:p>
    <w:p w14:paraId="0EB27CC8" w14:textId="77777777" w:rsidR="00021112" w:rsidRDefault="00021112">
      <w:pPr>
        <w:spacing w:after="0" w:line="259" w:lineRule="auto"/>
        <w:ind w:left="0" w:right="0" w:firstLine="0"/>
        <w:jc w:val="left"/>
        <w:rPr>
          <w:rFonts w:ascii="Cambria" w:eastAsia="Cambria" w:hAnsi="Cambria" w:cs="Cambria"/>
        </w:rPr>
      </w:pPr>
    </w:p>
    <w:p w14:paraId="187EDB00" w14:textId="77777777" w:rsidR="00021112" w:rsidRDefault="00021112">
      <w:pPr>
        <w:spacing w:after="0" w:line="259" w:lineRule="auto"/>
        <w:ind w:left="0" w:right="0" w:firstLine="0"/>
        <w:jc w:val="left"/>
        <w:rPr>
          <w:rFonts w:ascii="Cambria" w:eastAsia="Cambria" w:hAnsi="Cambria" w:cs="Cambria"/>
        </w:rPr>
      </w:pPr>
    </w:p>
    <w:p w14:paraId="6C7C7F28" w14:textId="77777777" w:rsidR="00021112" w:rsidRDefault="00021112">
      <w:pPr>
        <w:spacing w:after="0" w:line="259" w:lineRule="auto"/>
        <w:ind w:left="0" w:right="0" w:firstLine="0"/>
        <w:jc w:val="left"/>
        <w:rPr>
          <w:rFonts w:ascii="Cambria" w:eastAsia="Cambria" w:hAnsi="Cambria" w:cs="Cambria"/>
        </w:rPr>
      </w:pPr>
    </w:p>
    <w:p w14:paraId="1F74B0ED" w14:textId="77777777" w:rsidR="00021112" w:rsidRDefault="00021112">
      <w:pPr>
        <w:spacing w:after="0" w:line="259" w:lineRule="auto"/>
        <w:ind w:left="0" w:right="0" w:firstLine="0"/>
        <w:jc w:val="left"/>
      </w:pPr>
    </w:p>
    <w:p w14:paraId="044E95FD" w14:textId="77777777" w:rsidR="004F3D34" w:rsidRDefault="0012463D">
      <w:pPr>
        <w:pStyle w:val="Heading1"/>
        <w:ind w:left="-5"/>
      </w:pPr>
      <w:bookmarkStart w:id="5" w:name="_Toc6504"/>
      <w:r>
        <w:lastRenderedPageBreak/>
        <w:t xml:space="preserve">Appendix </w:t>
      </w:r>
      <w:bookmarkEnd w:id="5"/>
    </w:p>
    <w:p w14:paraId="55DCC3C8" w14:textId="77777777" w:rsidR="004F3D34" w:rsidRDefault="0012463D">
      <w:pPr>
        <w:pStyle w:val="Heading3"/>
        <w:ind w:left="-5"/>
      </w:pPr>
      <w:r>
        <w:t xml:space="preserve">Odds Ratio Explanation </w:t>
      </w:r>
    </w:p>
    <w:p w14:paraId="114FA454" w14:textId="77777777" w:rsidR="004F3D34" w:rsidRDefault="0012463D">
      <w:pPr>
        <w:ind w:left="-15" w:right="0" w:firstLine="240"/>
      </w:pPr>
      <w:r>
        <w:t xml:space="preserve">An odds ratio is a number that can range from 0 to very large values and is a way to measure the likelihood of an event occurring in one group compared to another group. </w:t>
      </w:r>
    </w:p>
    <w:p w14:paraId="375FE7BC" w14:textId="77777777" w:rsidR="004F3D34" w:rsidRDefault="0012463D" w:rsidP="00021112">
      <w:pPr>
        <w:numPr>
          <w:ilvl w:val="0"/>
          <w:numId w:val="5"/>
        </w:numPr>
        <w:spacing w:after="27"/>
        <w:ind w:left="540" w:right="0" w:hanging="300"/>
      </w:pPr>
      <w:r>
        <w:t xml:space="preserve">An odds ratio of 1 means the likelihood (or chance) of an event occurring is equal between the two groups. </w:t>
      </w:r>
    </w:p>
    <w:p w14:paraId="7549DA21" w14:textId="77777777" w:rsidR="004F3D34" w:rsidRDefault="0012463D" w:rsidP="00021112">
      <w:pPr>
        <w:numPr>
          <w:ilvl w:val="0"/>
          <w:numId w:val="5"/>
        </w:numPr>
        <w:spacing w:after="26"/>
        <w:ind w:left="540" w:right="0" w:hanging="300"/>
      </w:pPr>
      <w:r>
        <w:t xml:space="preserve">An odds ratio of greater than 1 suggests a greater likelihood of the event occurring in one group. </w:t>
      </w:r>
    </w:p>
    <w:p w14:paraId="2D422517" w14:textId="77777777" w:rsidR="004F3D34" w:rsidRDefault="0012463D" w:rsidP="00021112">
      <w:pPr>
        <w:numPr>
          <w:ilvl w:val="0"/>
          <w:numId w:val="5"/>
        </w:numPr>
        <w:spacing w:after="157" w:line="259" w:lineRule="auto"/>
        <w:ind w:left="540" w:right="0" w:hanging="300"/>
      </w:pPr>
      <w:r>
        <w:t xml:space="preserve">An odds ratio of less than 1 suggests a lesser likelihood of the event occurring in one group. </w:t>
      </w:r>
    </w:p>
    <w:p w14:paraId="5D95BBFF" w14:textId="77777777" w:rsidR="004F3D34" w:rsidRDefault="0012463D">
      <w:pPr>
        <w:ind w:left="-15" w:right="0" w:firstLine="240"/>
      </w:pPr>
      <w:r>
        <w:t xml:space="preserve">For example, the odds ratio of 1.9 for regaining HOPE indicates how much more likely a KHA recipient is to regain HOPE compared to a non-recipient. </w:t>
      </w:r>
    </w:p>
    <w:p w14:paraId="5459FAE7" w14:textId="77777777" w:rsidR="004F3D34" w:rsidRDefault="0012463D">
      <w:pPr>
        <w:spacing w:after="172" w:line="259" w:lineRule="auto"/>
        <w:ind w:left="0" w:right="0" w:firstLine="0"/>
        <w:jc w:val="left"/>
      </w:pPr>
      <w:r>
        <w:rPr>
          <w:rFonts w:ascii="Cambria" w:eastAsia="Cambria" w:hAnsi="Cambria" w:cs="Cambria"/>
        </w:rPr>
        <w:t xml:space="preserve"> </w:t>
      </w:r>
    </w:p>
    <w:p w14:paraId="1AFB64E2" w14:textId="77777777" w:rsidR="004F3D34" w:rsidRDefault="0012463D">
      <w:pPr>
        <w:pStyle w:val="Heading3"/>
        <w:ind w:left="-5"/>
      </w:pPr>
      <w:r>
        <w:t xml:space="preserve">P-value Explanation </w:t>
      </w:r>
    </w:p>
    <w:p w14:paraId="3959FA55" w14:textId="77777777" w:rsidR="004F3D34" w:rsidRDefault="0012463D">
      <w:pPr>
        <w:ind w:left="-15" w:right="0" w:firstLine="360"/>
      </w:pPr>
      <w:r>
        <w:t xml:space="preserve">A P-value, or probability value, is a number that can range from 0 to 1. A P-value close to 0 indicates that the true odds ratio is different than 1. Typical cutoff points to make the determination are 0.05 or 0.10. In other words, if the P-value is less than 0.10, there is strong evidence that the true odds ratio is different than 1. </w:t>
      </w:r>
    </w:p>
    <w:p w14:paraId="4BE56C9D" w14:textId="77777777" w:rsidR="004F3D34" w:rsidRDefault="0012463D">
      <w:pPr>
        <w:spacing w:after="172" w:line="259" w:lineRule="auto"/>
        <w:ind w:left="0" w:right="0" w:firstLine="0"/>
        <w:jc w:val="left"/>
      </w:pPr>
      <w:r>
        <w:rPr>
          <w:rFonts w:ascii="Cambria" w:eastAsia="Cambria" w:hAnsi="Cambria" w:cs="Cambria"/>
        </w:rPr>
        <w:t xml:space="preserve"> </w:t>
      </w:r>
    </w:p>
    <w:p w14:paraId="3B84A5CB" w14:textId="77777777" w:rsidR="004F3D34" w:rsidRDefault="0012463D">
      <w:pPr>
        <w:pStyle w:val="Heading3"/>
        <w:ind w:left="-5"/>
      </w:pPr>
      <w:r>
        <w:t xml:space="preserve">Nearest Neighbor Matching </w:t>
      </w:r>
    </w:p>
    <w:p w14:paraId="6AD91FA8" w14:textId="77777777" w:rsidR="004F3D34" w:rsidRDefault="0012463D">
      <w:pPr>
        <w:ind w:left="-15" w:right="0" w:firstLine="360"/>
      </w:pPr>
      <w:r>
        <w:t xml:space="preserve">The initial sample consisted of 372 Keep Hope Alive (KHA) recipients and 5,469 non-recipients. Given the substantial difference in group size and moderate disparities in demographic, socioeconomic, and academic performance characteristics, we employed nearest neighbor matching to enhance sample balance. This matching method pairs one KHA recipient with one non-recipient based on similar demographic, socioeconomic, and academic performance characteristics (i.e., covariates included in the regression model). </w:t>
      </w:r>
      <w:r>
        <w:t xml:space="preserve">Overall, the matching method improves the balance between the KHA recipients and the control students, allowing for a more robust comparison of the effects of the KHA scholarship. </w:t>
      </w:r>
    </w:p>
    <w:sectPr w:rsidR="004F3D34">
      <w:footerReference w:type="even" r:id="rId12"/>
      <w:footerReference w:type="default" r:id="rId13"/>
      <w:footerReference w:type="first" r:id="rId14"/>
      <w:pgSz w:w="12240" w:h="15840"/>
      <w:pgMar w:top="1150" w:right="1149" w:bottom="1450"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B2F14" w14:textId="77777777" w:rsidR="0012463D" w:rsidRDefault="0012463D">
      <w:pPr>
        <w:spacing w:after="0" w:line="240" w:lineRule="auto"/>
      </w:pPr>
      <w:r>
        <w:separator/>
      </w:r>
    </w:p>
  </w:endnote>
  <w:endnote w:type="continuationSeparator" w:id="0">
    <w:p w14:paraId="709A0B96" w14:textId="77777777" w:rsidR="0012463D" w:rsidRDefault="0012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D3012" w14:textId="77777777" w:rsidR="004F3D34" w:rsidRDefault="0012463D">
    <w:pPr>
      <w:spacing w:after="0" w:line="259" w:lineRule="auto"/>
      <w:ind w:left="0" w:firstLine="0"/>
      <w:jc w:val="center"/>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14:paraId="44E9D989" w14:textId="77777777" w:rsidR="004F3D34" w:rsidRDefault="0012463D">
    <w:pPr>
      <w:spacing w:after="0" w:line="259" w:lineRule="auto"/>
      <w:ind w:left="0" w:right="0" w:firstLine="0"/>
      <w:jc w:val="left"/>
    </w:pP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7FAE1" w14:textId="77777777" w:rsidR="004F3D34" w:rsidRDefault="0012463D">
    <w:pPr>
      <w:spacing w:after="0" w:line="259" w:lineRule="auto"/>
      <w:ind w:left="0" w:firstLine="0"/>
      <w:jc w:val="center"/>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14:paraId="0E404336" w14:textId="77777777" w:rsidR="004F3D34" w:rsidRDefault="0012463D">
    <w:pPr>
      <w:spacing w:after="0" w:line="259" w:lineRule="auto"/>
      <w:ind w:left="0" w:right="0" w:firstLine="0"/>
      <w:jc w:val="left"/>
    </w:pP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04F50" w14:textId="77777777" w:rsidR="004F3D34" w:rsidRDefault="004F3D3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70988" w14:textId="77777777" w:rsidR="0012463D" w:rsidRDefault="0012463D">
      <w:pPr>
        <w:spacing w:after="0" w:line="240" w:lineRule="auto"/>
      </w:pPr>
      <w:r>
        <w:separator/>
      </w:r>
    </w:p>
  </w:footnote>
  <w:footnote w:type="continuationSeparator" w:id="0">
    <w:p w14:paraId="48C8EF0C" w14:textId="77777777" w:rsidR="0012463D" w:rsidRDefault="00124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54F43"/>
    <w:multiLevelType w:val="hybridMultilevel"/>
    <w:tmpl w:val="EF3A264C"/>
    <w:lvl w:ilvl="0" w:tplc="AEAA31F2">
      <w:start w:val="1"/>
      <w:numFmt w:val="decimal"/>
      <w:lvlText w:val="(%1)"/>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79C86712">
      <w:start w:val="1"/>
      <w:numFmt w:val="lowerLetter"/>
      <w:lvlText w:val="%2"/>
      <w:lvlJc w:val="left"/>
      <w:pPr>
        <w:ind w:left="1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80361F00">
      <w:start w:val="1"/>
      <w:numFmt w:val="lowerRoman"/>
      <w:lvlText w:val="%3"/>
      <w:lvlJc w:val="left"/>
      <w:pPr>
        <w:ind w:left="2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B12ED8A8">
      <w:start w:val="1"/>
      <w:numFmt w:val="decimal"/>
      <w:lvlText w:val="%4"/>
      <w:lvlJc w:val="left"/>
      <w:pPr>
        <w:ind w:left="2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44FE4D3C">
      <w:start w:val="1"/>
      <w:numFmt w:val="lowerLetter"/>
      <w:lvlText w:val="%5"/>
      <w:lvlJc w:val="left"/>
      <w:pPr>
        <w:ind w:left="3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676641A6">
      <w:start w:val="1"/>
      <w:numFmt w:val="lowerRoman"/>
      <w:lvlText w:val="%6"/>
      <w:lvlJc w:val="left"/>
      <w:pPr>
        <w:ind w:left="4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EE387968">
      <w:start w:val="1"/>
      <w:numFmt w:val="decimal"/>
      <w:lvlText w:val="%7"/>
      <w:lvlJc w:val="left"/>
      <w:pPr>
        <w:ind w:left="49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140A0C90">
      <w:start w:val="1"/>
      <w:numFmt w:val="lowerLetter"/>
      <w:lvlText w:val="%8"/>
      <w:lvlJc w:val="left"/>
      <w:pPr>
        <w:ind w:left="56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8901E36">
      <w:start w:val="1"/>
      <w:numFmt w:val="lowerRoman"/>
      <w:lvlText w:val="%9"/>
      <w:lvlJc w:val="left"/>
      <w:pPr>
        <w:ind w:left="6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E55FE0"/>
    <w:multiLevelType w:val="hybridMultilevel"/>
    <w:tmpl w:val="BCE8BCCA"/>
    <w:lvl w:ilvl="0" w:tplc="3614EB86">
      <w:start w:val="1"/>
      <w:numFmt w:val="decimal"/>
      <w:lvlText w:val="(%1)"/>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13A043AA">
      <w:start w:val="1"/>
      <w:numFmt w:val="lowerLetter"/>
      <w:lvlText w:val="%2"/>
      <w:lvlJc w:val="left"/>
      <w:pPr>
        <w:ind w:left="1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59A0D4FA">
      <w:start w:val="1"/>
      <w:numFmt w:val="lowerRoman"/>
      <w:lvlText w:val="%3"/>
      <w:lvlJc w:val="left"/>
      <w:pPr>
        <w:ind w:left="2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FD960726">
      <w:start w:val="1"/>
      <w:numFmt w:val="decimal"/>
      <w:lvlText w:val="%4"/>
      <w:lvlJc w:val="left"/>
      <w:pPr>
        <w:ind w:left="2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7924E3D6">
      <w:start w:val="1"/>
      <w:numFmt w:val="lowerLetter"/>
      <w:lvlText w:val="%5"/>
      <w:lvlJc w:val="left"/>
      <w:pPr>
        <w:ind w:left="3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60A05B4">
      <w:start w:val="1"/>
      <w:numFmt w:val="lowerRoman"/>
      <w:lvlText w:val="%6"/>
      <w:lvlJc w:val="left"/>
      <w:pPr>
        <w:ind w:left="4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21E6E1C4">
      <w:start w:val="1"/>
      <w:numFmt w:val="decimal"/>
      <w:lvlText w:val="%7"/>
      <w:lvlJc w:val="left"/>
      <w:pPr>
        <w:ind w:left="49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D046B29C">
      <w:start w:val="1"/>
      <w:numFmt w:val="lowerLetter"/>
      <w:lvlText w:val="%8"/>
      <w:lvlJc w:val="left"/>
      <w:pPr>
        <w:ind w:left="56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9A3684B8">
      <w:start w:val="1"/>
      <w:numFmt w:val="lowerRoman"/>
      <w:lvlText w:val="%9"/>
      <w:lvlJc w:val="left"/>
      <w:pPr>
        <w:ind w:left="6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D13B3F"/>
    <w:multiLevelType w:val="hybridMultilevel"/>
    <w:tmpl w:val="27F8D99C"/>
    <w:lvl w:ilvl="0" w:tplc="D68C46DE">
      <w:start w:val="1"/>
      <w:numFmt w:val="decimal"/>
      <w:lvlText w:val="(%1)"/>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289A0DB0">
      <w:start w:val="1"/>
      <w:numFmt w:val="lowerLetter"/>
      <w:lvlText w:val="%2"/>
      <w:lvlJc w:val="left"/>
      <w:pPr>
        <w:ind w:left="1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859E6EF0">
      <w:start w:val="1"/>
      <w:numFmt w:val="lowerRoman"/>
      <w:lvlText w:val="%3"/>
      <w:lvlJc w:val="left"/>
      <w:pPr>
        <w:ind w:left="2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82CA2078">
      <w:start w:val="1"/>
      <w:numFmt w:val="decimal"/>
      <w:lvlText w:val="%4"/>
      <w:lvlJc w:val="left"/>
      <w:pPr>
        <w:ind w:left="2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DC625576">
      <w:start w:val="1"/>
      <w:numFmt w:val="lowerLetter"/>
      <w:lvlText w:val="%5"/>
      <w:lvlJc w:val="left"/>
      <w:pPr>
        <w:ind w:left="3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FE86F4DA">
      <w:start w:val="1"/>
      <w:numFmt w:val="lowerRoman"/>
      <w:lvlText w:val="%6"/>
      <w:lvlJc w:val="left"/>
      <w:pPr>
        <w:ind w:left="4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15A4A1B4">
      <w:start w:val="1"/>
      <w:numFmt w:val="decimal"/>
      <w:lvlText w:val="%7"/>
      <w:lvlJc w:val="left"/>
      <w:pPr>
        <w:ind w:left="49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16CE626E">
      <w:start w:val="1"/>
      <w:numFmt w:val="lowerLetter"/>
      <w:lvlText w:val="%8"/>
      <w:lvlJc w:val="left"/>
      <w:pPr>
        <w:ind w:left="56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A0DA70C4">
      <w:start w:val="1"/>
      <w:numFmt w:val="lowerRoman"/>
      <w:lvlText w:val="%9"/>
      <w:lvlJc w:val="left"/>
      <w:pPr>
        <w:ind w:left="6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1B4AFF"/>
    <w:multiLevelType w:val="hybridMultilevel"/>
    <w:tmpl w:val="AF7EE2A4"/>
    <w:lvl w:ilvl="0" w:tplc="6F58E484">
      <w:start w:val="1"/>
      <w:numFmt w:val="decimal"/>
      <w:lvlText w:val="(%1)"/>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63369824">
      <w:start w:val="1"/>
      <w:numFmt w:val="lowerLetter"/>
      <w:lvlText w:val="%2"/>
      <w:lvlJc w:val="left"/>
      <w:pPr>
        <w:ind w:left="1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3C305F78">
      <w:start w:val="1"/>
      <w:numFmt w:val="lowerRoman"/>
      <w:lvlText w:val="%3"/>
      <w:lvlJc w:val="left"/>
      <w:pPr>
        <w:ind w:left="2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E64A4C2E">
      <w:start w:val="1"/>
      <w:numFmt w:val="decimal"/>
      <w:lvlText w:val="%4"/>
      <w:lvlJc w:val="left"/>
      <w:pPr>
        <w:ind w:left="2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CF9AD224">
      <w:start w:val="1"/>
      <w:numFmt w:val="lowerLetter"/>
      <w:lvlText w:val="%5"/>
      <w:lvlJc w:val="left"/>
      <w:pPr>
        <w:ind w:left="3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611CC4A4">
      <w:start w:val="1"/>
      <w:numFmt w:val="lowerRoman"/>
      <w:lvlText w:val="%6"/>
      <w:lvlJc w:val="left"/>
      <w:pPr>
        <w:ind w:left="4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7F985592">
      <w:start w:val="1"/>
      <w:numFmt w:val="decimal"/>
      <w:lvlText w:val="%7"/>
      <w:lvlJc w:val="left"/>
      <w:pPr>
        <w:ind w:left="49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387E8F08">
      <w:start w:val="1"/>
      <w:numFmt w:val="lowerLetter"/>
      <w:lvlText w:val="%8"/>
      <w:lvlJc w:val="left"/>
      <w:pPr>
        <w:ind w:left="56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8CFE51AC">
      <w:start w:val="1"/>
      <w:numFmt w:val="lowerRoman"/>
      <w:lvlText w:val="%9"/>
      <w:lvlJc w:val="left"/>
      <w:pPr>
        <w:ind w:left="6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DE57F2"/>
    <w:multiLevelType w:val="hybridMultilevel"/>
    <w:tmpl w:val="7472D34E"/>
    <w:lvl w:ilvl="0" w:tplc="E35CC670">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5B88FFF0">
      <w:start w:val="1"/>
      <w:numFmt w:val="bullet"/>
      <w:lvlText w:val="o"/>
      <w:lvlJc w:val="left"/>
      <w:pPr>
        <w:ind w:left="1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39307580">
      <w:start w:val="1"/>
      <w:numFmt w:val="bullet"/>
      <w:lvlText w:val="▪"/>
      <w:lvlJc w:val="left"/>
      <w:pPr>
        <w:ind w:left="2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3F922E54">
      <w:start w:val="1"/>
      <w:numFmt w:val="bullet"/>
      <w:lvlText w:val="•"/>
      <w:lvlJc w:val="left"/>
      <w:pPr>
        <w:ind w:left="2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A91C0E58">
      <w:start w:val="1"/>
      <w:numFmt w:val="bullet"/>
      <w:lvlText w:val="o"/>
      <w:lvlJc w:val="left"/>
      <w:pPr>
        <w:ind w:left="3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A5E26D52">
      <w:start w:val="1"/>
      <w:numFmt w:val="bullet"/>
      <w:lvlText w:val="▪"/>
      <w:lvlJc w:val="left"/>
      <w:pPr>
        <w:ind w:left="42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5B88F512">
      <w:start w:val="1"/>
      <w:numFmt w:val="bullet"/>
      <w:lvlText w:val="•"/>
      <w:lvlJc w:val="left"/>
      <w:pPr>
        <w:ind w:left="49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34DC29F2">
      <w:start w:val="1"/>
      <w:numFmt w:val="bullet"/>
      <w:lvlText w:val="o"/>
      <w:lvlJc w:val="left"/>
      <w:pPr>
        <w:ind w:left="56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9DB80800">
      <w:start w:val="1"/>
      <w:numFmt w:val="bullet"/>
      <w:lvlText w:val="▪"/>
      <w:lvlJc w:val="left"/>
      <w:pPr>
        <w:ind w:left="6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1698114368">
    <w:abstractNumId w:val="2"/>
  </w:num>
  <w:num w:numId="2" w16cid:durableId="1068963742">
    <w:abstractNumId w:val="0"/>
  </w:num>
  <w:num w:numId="3" w16cid:durableId="834955644">
    <w:abstractNumId w:val="3"/>
  </w:num>
  <w:num w:numId="4" w16cid:durableId="328604506">
    <w:abstractNumId w:val="1"/>
  </w:num>
  <w:num w:numId="5" w16cid:durableId="2118790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34"/>
    <w:rsid w:val="00021112"/>
    <w:rsid w:val="000F6E55"/>
    <w:rsid w:val="0012463D"/>
    <w:rsid w:val="00300610"/>
    <w:rsid w:val="004332F7"/>
    <w:rsid w:val="004F3D34"/>
    <w:rsid w:val="0054691F"/>
    <w:rsid w:val="008B5097"/>
    <w:rsid w:val="00944B6A"/>
    <w:rsid w:val="00B16557"/>
    <w:rsid w:val="00B17730"/>
    <w:rsid w:val="00B23955"/>
    <w:rsid w:val="00D06174"/>
    <w:rsid w:val="00D9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4BEF9"/>
  <w15:docId w15:val="{F7675143-5A17-7D48-8616-E28DD04B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0" w:lineRule="auto"/>
      <w:ind w:left="490" w:right="4" w:hanging="490"/>
      <w:jc w:val="both"/>
    </w:pPr>
    <w:rPr>
      <w:rFonts w:ascii="Aptos" w:eastAsia="Aptos" w:hAnsi="Aptos" w:cs="Aptos"/>
      <w:color w:val="000000"/>
      <w:lang w:bidi="en-US"/>
    </w:rPr>
  </w:style>
  <w:style w:type="paragraph" w:styleId="Heading1">
    <w:name w:val="heading 1"/>
    <w:next w:val="Normal"/>
    <w:link w:val="Heading1Char"/>
    <w:uiPriority w:val="9"/>
    <w:qFormat/>
    <w:pPr>
      <w:keepNext/>
      <w:keepLines/>
      <w:spacing w:after="96" w:line="259" w:lineRule="auto"/>
      <w:ind w:left="10" w:hanging="10"/>
      <w:outlineLvl w:val="0"/>
    </w:pPr>
    <w:rPr>
      <w:rFonts w:ascii="Aptos" w:eastAsia="Aptos" w:hAnsi="Aptos" w:cs="Aptos"/>
      <w:b/>
      <w:color w:val="000000"/>
      <w:sz w:val="32"/>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Aptos" w:eastAsia="Aptos" w:hAnsi="Aptos" w:cs="Aptos"/>
      <w:b/>
      <w:color w:val="000000"/>
      <w:sz w:val="32"/>
    </w:rPr>
  </w:style>
  <w:style w:type="paragraph" w:styleId="Heading3">
    <w:name w:val="heading 3"/>
    <w:next w:val="Normal"/>
    <w:link w:val="Heading3Char"/>
    <w:uiPriority w:val="9"/>
    <w:unhideWhenUsed/>
    <w:qFormat/>
    <w:pPr>
      <w:keepNext/>
      <w:keepLines/>
      <w:spacing w:after="158" w:line="259" w:lineRule="auto"/>
      <w:ind w:left="10" w:hanging="10"/>
      <w:outlineLvl w:val="2"/>
    </w:pPr>
    <w:rPr>
      <w:rFonts w:ascii="Aptos" w:eastAsia="Aptos" w:hAnsi="Aptos" w:cs="Apto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ptos" w:eastAsia="Aptos" w:hAnsi="Aptos" w:cs="Aptos"/>
      <w:b/>
      <w:color w:val="000000"/>
      <w:sz w:val="24"/>
    </w:rPr>
  </w:style>
  <w:style w:type="character" w:customStyle="1" w:styleId="Heading2Char">
    <w:name w:val="Heading 2 Char"/>
    <w:link w:val="Heading2"/>
    <w:rPr>
      <w:rFonts w:ascii="Aptos" w:eastAsia="Aptos" w:hAnsi="Aptos" w:cs="Aptos"/>
      <w:b/>
      <w:color w:val="000000"/>
      <w:sz w:val="32"/>
    </w:rPr>
  </w:style>
  <w:style w:type="character" w:customStyle="1" w:styleId="Heading1Char">
    <w:name w:val="Heading 1 Char"/>
    <w:link w:val="Heading1"/>
    <w:rPr>
      <w:rFonts w:ascii="Aptos" w:eastAsia="Aptos" w:hAnsi="Aptos" w:cs="Aptos"/>
      <w:b/>
      <w:color w:val="000000"/>
      <w:sz w:val="32"/>
    </w:rPr>
  </w:style>
  <w:style w:type="paragraph" w:styleId="TOC1">
    <w:name w:val="toc 1"/>
    <w:hidden/>
    <w:pPr>
      <w:spacing w:after="1" w:line="321" w:lineRule="auto"/>
      <w:ind w:left="15" w:right="23"/>
      <w:jc w:val="both"/>
    </w:pPr>
    <w:rPr>
      <w:rFonts w:ascii="Aptos" w:eastAsia="Aptos" w:hAnsi="Aptos" w:cs="Aptos"/>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Keep Hope Alive Scholarship Report</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Hope Alive Scholarship Report</dc:title>
  <dc:subject/>
  <dc:creator>Timothy John Fulton</dc:creator>
  <cp:keywords/>
  <cp:lastModifiedBy>Fulton, Timothy John</cp:lastModifiedBy>
  <cp:revision>3</cp:revision>
  <cp:lastPrinted>2025-03-15T22:59:00Z</cp:lastPrinted>
  <dcterms:created xsi:type="dcterms:W3CDTF">2025-03-15T22:59:00Z</dcterms:created>
  <dcterms:modified xsi:type="dcterms:W3CDTF">2025-03-15T23:07:00Z</dcterms:modified>
</cp:coreProperties>
</file>