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BA64"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b/>
          <w:bCs/>
          <w:color w:val="000000"/>
          <w:kern w:val="0"/>
          <w:sz w:val="27"/>
          <w:szCs w:val="27"/>
          <w14:ligatures w14:val="none"/>
        </w:rPr>
        <w:t>Executive Summary: Prysm – Transforming Healthcare Philanthropy Through Scalable, Clinician-Led Engagement</w:t>
      </w:r>
    </w:p>
    <w:p w14:paraId="40138863"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b/>
          <w:bCs/>
          <w:color w:val="000000"/>
          <w:kern w:val="0"/>
          <w14:ligatures w14:val="none"/>
        </w:rPr>
        <w:t>Purpose-Built Digital Platform for Modern Fundraising</w:t>
      </w:r>
    </w:p>
    <w:p w14:paraId="486413C2"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color w:val="000000"/>
          <w:kern w:val="0"/>
          <w14:ligatures w14:val="none"/>
        </w:rPr>
        <w:t>Prysm is an automation-first, cloud-based CRM platform designed specifically for non-profit healthcare systems. It addresses the urgent need for scalable, clinician-led patient engagement and donor development, enabling organizations to meet today’s fundraising challenges with precision, insight, and purpose.</w:t>
      </w:r>
    </w:p>
    <w:p w14:paraId="4256D27E" w14:textId="77777777" w:rsidR="002C2542" w:rsidRPr="002C2542" w:rsidRDefault="002C2542" w:rsidP="002C2542">
      <w:pPr>
        <w:spacing w:after="0" w:line="240" w:lineRule="auto"/>
        <w:rPr>
          <w:rFonts w:ascii="Times New Roman" w:eastAsia="Times New Roman" w:hAnsi="Times New Roman" w:cs="Times New Roman"/>
          <w:kern w:val="0"/>
          <w14:ligatures w14:val="none"/>
        </w:rPr>
      </w:pPr>
    </w:p>
    <w:p w14:paraId="17D5FD86"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b/>
          <w:bCs/>
          <w:color w:val="000000"/>
          <w:kern w:val="0"/>
          <w:sz w:val="27"/>
          <w:szCs w:val="27"/>
          <w14:ligatures w14:val="none"/>
        </w:rPr>
        <w:t>Strategic Context &amp; Opportunity</w:t>
      </w:r>
    </w:p>
    <w:p w14:paraId="076BB7AE"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color w:val="000000"/>
          <w:kern w:val="0"/>
          <w14:ligatures w14:val="none"/>
        </w:rPr>
        <w:t xml:space="preserve">The healthcare philanthropy sector stands at a critical inflection point, driven by the largest intergenerational wealth transfer in </w:t>
      </w:r>
      <w:proofErr w:type="gramStart"/>
      <w:r w:rsidRPr="002C2542">
        <w:rPr>
          <w:rFonts w:ascii="Times New Roman" w:eastAsia="Times New Roman" w:hAnsi="Times New Roman" w:cs="Times New Roman"/>
          <w:color w:val="000000"/>
          <w:kern w:val="0"/>
          <w14:ligatures w14:val="none"/>
        </w:rPr>
        <w:t>history—</w:t>
      </w:r>
      <w:proofErr w:type="gramEnd"/>
      <w:r w:rsidRPr="002C2542">
        <w:rPr>
          <w:rFonts w:ascii="Times New Roman" w:eastAsia="Times New Roman" w:hAnsi="Times New Roman" w:cs="Times New Roman"/>
          <w:color w:val="000000"/>
          <w:kern w:val="0"/>
          <w14:ligatures w14:val="none"/>
        </w:rPr>
        <w:t>$48 trillion over the coming decades. As donor expectations shift toward personalized, transparent engagement, health systems must modernize their approach or risk falling behind.</w:t>
      </w:r>
    </w:p>
    <w:p w14:paraId="4A7231F4"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color w:val="000000"/>
          <w:kern w:val="0"/>
          <w14:ligatures w14:val="none"/>
        </w:rPr>
        <w:t>Grateful patient philanthropy represents the most scalable and mission-aligned fundraising strategy available, but traditional models are no longer sufficient. Manual processes, siloed technology, and outdated workflows cannot support the complexity or scale required for success in this evolving environment.</w:t>
      </w:r>
    </w:p>
    <w:p w14:paraId="19F329C5" w14:textId="77777777" w:rsidR="002C2542" w:rsidRPr="002C2542" w:rsidRDefault="002C2542" w:rsidP="002C2542">
      <w:pPr>
        <w:spacing w:after="0" w:line="240" w:lineRule="auto"/>
        <w:rPr>
          <w:rFonts w:ascii="Times New Roman" w:eastAsia="Times New Roman" w:hAnsi="Times New Roman" w:cs="Times New Roman"/>
          <w:kern w:val="0"/>
          <w14:ligatures w14:val="none"/>
        </w:rPr>
      </w:pPr>
    </w:p>
    <w:p w14:paraId="20963306"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b/>
          <w:bCs/>
          <w:color w:val="000000"/>
          <w:kern w:val="0"/>
          <w:sz w:val="27"/>
          <w:szCs w:val="27"/>
          <w14:ligatures w14:val="none"/>
        </w:rPr>
        <w:t>Sector Challenges</w:t>
      </w:r>
    </w:p>
    <w:p w14:paraId="3D303975"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color w:val="000000"/>
          <w:kern w:val="0"/>
          <w14:ligatures w14:val="none"/>
        </w:rPr>
        <w:t>Non-profit healthcare organizations face a consistent set of operational and strategic challenges:</w:t>
      </w:r>
    </w:p>
    <w:p w14:paraId="7E1913E5" w14:textId="77777777" w:rsidR="002C2542" w:rsidRPr="002C2542" w:rsidRDefault="002C2542" w:rsidP="002C2542">
      <w:pPr>
        <w:numPr>
          <w:ilvl w:val="0"/>
          <w:numId w:val="1"/>
        </w:numPr>
        <w:spacing w:before="280"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Siloed systems and manual workflows limit visibility, collaboration, and speed.</w:t>
      </w:r>
    </w:p>
    <w:p w14:paraId="231D2297" w14:textId="77777777" w:rsidR="002C2542" w:rsidRPr="002C2542" w:rsidRDefault="002C2542" w:rsidP="002C2542">
      <w:pPr>
        <w:numPr>
          <w:ilvl w:val="0"/>
          <w:numId w:val="1"/>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Low confidence in data and performance metrics impairs strategic planning and execution.</w:t>
      </w:r>
    </w:p>
    <w:p w14:paraId="2FC4D200" w14:textId="77777777" w:rsidR="002C2542" w:rsidRPr="002C2542" w:rsidRDefault="002C2542" w:rsidP="002C2542">
      <w:pPr>
        <w:numPr>
          <w:ilvl w:val="0"/>
          <w:numId w:val="1"/>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Reactive, outdated operating models are not designed for real-time, data-driven decision-making.</w:t>
      </w:r>
    </w:p>
    <w:p w14:paraId="2CB906FE" w14:textId="77777777" w:rsidR="002C2542" w:rsidRPr="002C2542" w:rsidRDefault="002C2542" w:rsidP="002C2542">
      <w:pPr>
        <w:numPr>
          <w:ilvl w:val="0"/>
          <w:numId w:val="1"/>
        </w:numPr>
        <w:spacing w:after="28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Staff burnout and inefficiencies are widespread due to lack of automation and technology integration.</w:t>
      </w:r>
    </w:p>
    <w:p w14:paraId="514E1291" w14:textId="77777777" w:rsidR="002C2542" w:rsidRPr="002C2542" w:rsidRDefault="002C2542" w:rsidP="002C2542">
      <w:pPr>
        <w:spacing w:after="240" w:line="240" w:lineRule="auto"/>
        <w:rPr>
          <w:rFonts w:ascii="Times New Roman" w:eastAsia="Times New Roman" w:hAnsi="Times New Roman" w:cs="Times New Roman"/>
          <w:kern w:val="0"/>
          <w14:ligatures w14:val="none"/>
        </w:rPr>
      </w:pPr>
    </w:p>
    <w:p w14:paraId="3B2B2BC7"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b/>
          <w:bCs/>
          <w:color w:val="000000"/>
          <w:kern w:val="0"/>
          <w:sz w:val="27"/>
          <w:szCs w:val="27"/>
          <w14:ligatures w14:val="none"/>
        </w:rPr>
        <w:t>Prysm’s Digital Transformation Solution</w:t>
      </w:r>
    </w:p>
    <w:p w14:paraId="023B48BD"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color w:val="000000"/>
          <w:kern w:val="0"/>
          <w14:ligatures w14:val="none"/>
        </w:rPr>
        <w:t>Prysm offers a unified, intelligent ecosystem that enables every stakeholder—from fundraisers and clinicians to operations and executives—to operate from a single source of truth.</w:t>
      </w:r>
    </w:p>
    <w:p w14:paraId="37622D2A"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b/>
          <w:bCs/>
          <w:color w:val="000000"/>
          <w:kern w:val="0"/>
          <w14:ligatures w14:val="none"/>
        </w:rPr>
        <w:lastRenderedPageBreak/>
        <w:t>Core Capabilities</w:t>
      </w:r>
    </w:p>
    <w:p w14:paraId="4C6B6812" w14:textId="77777777" w:rsidR="002C2542" w:rsidRPr="002C2542" w:rsidRDefault="002C2542" w:rsidP="002C2542">
      <w:pPr>
        <w:numPr>
          <w:ilvl w:val="0"/>
          <w:numId w:val="2"/>
        </w:numPr>
        <w:spacing w:before="280"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Unified CRM Ecosystem for EMR integration, donor and patient relationship management, and clinician collaboration.</w:t>
      </w:r>
    </w:p>
    <w:p w14:paraId="4F8453C7" w14:textId="77777777" w:rsidR="002C2542" w:rsidRPr="002C2542" w:rsidRDefault="002C2542" w:rsidP="002C2542">
      <w:pPr>
        <w:numPr>
          <w:ilvl w:val="0"/>
          <w:numId w:val="2"/>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Automation-First Architecture that streamlines engagement workflows, reduces manual tasks, and improves data accuracy.</w:t>
      </w:r>
    </w:p>
    <w:p w14:paraId="228EDFF2" w14:textId="77777777" w:rsidR="002C2542" w:rsidRPr="002C2542" w:rsidRDefault="002C2542" w:rsidP="002C2542">
      <w:pPr>
        <w:numPr>
          <w:ilvl w:val="0"/>
          <w:numId w:val="2"/>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Real-Time Dashboards and Analytics offering 360° views of patient journeys, outreach progress, and performance outcomes.</w:t>
      </w:r>
    </w:p>
    <w:p w14:paraId="5E321AE8" w14:textId="77777777" w:rsidR="002C2542" w:rsidRPr="002C2542" w:rsidRDefault="002C2542" w:rsidP="002C2542">
      <w:pPr>
        <w:numPr>
          <w:ilvl w:val="0"/>
          <w:numId w:val="2"/>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HIPAA-Compliant CTI Calling with click-to-dial access from anywhere, enabling secure and efficient outreach.</w:t>
      </w:r>
    </w:p>
    <w:p w14:paraId="433F27DF" w14:textId="77777777" w:rsidR="002C2542" w:rsidRPr="002C2542" w:rsidRDefault="002C2542" w:rsidP="002C2542">
      <w:pPr>
        <w:numPr>
          <w:ilvl w:val="0"/>
          <w:numId w:val="2"/>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 xml:space="preserve">AI-Driven Prospect </w:t>
      </w:r>
      <w:proofErr w:type="gramStart"/>
      <w:r w:rsidRPr="002C2542">
        <w:rPr>
          <w:rFonts w:ascii="Times New Roman" w:eastAsia="Times New Roman" w:hAnsi="Times New Roman" w:cs="Times New Roman"/>
          <w:color w:val="000000"/>
          <w:kern w:val="0"/>
          <w14:ligatures w14:val="none"/>
        </w:rPr>
        <w:t>Scoring using</w:t>
      </w:r>
      <w:proofErr w:type="gramEnd"/>
      <w:r w:rsidRPr="002C2542">
        <w:rPr>
          <w:rFonts w:ascii="Times New Roman" w:eastAsia="Times New Roman" w:hAnsi="Times New Roman" w:cs="Times New Roman"/>
          <w:color w:val="000000"/>
          <w:kern w:val="0"/>
          <w14:ligatures w14:val="none"/>
        </w:rPr>
        <w:t xml:space="preserve"> machine learning to identify high-potential donors from patient encounter data.</w:t>
      </w:r>
    </w:p>
    <w:p w14:paraId="68E97DEF" w14:textId="77777777" w:rsidR="002C2542" w:rsidRPr="002C2542" w:rsidRDefault="002C2542" w:rsidP="002C2542">
      <w:pPr>
        <w:numPr>
          <w:ilvl w:val="0"/>
          <w:numId w:val="2"/>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Geolocation Mapping and smart segmentation for targeted outreach and event planning.</w:t>
      </w:r>
    </w:p>
    <w:p w14:paraId="6091378D" w14:textId="77777777" w:rsidR="002C2542" w:rsidRPr="002C2542" w:rsidRDefault="002C2542" w:rsidP="002C2542">
      <w:pPr>
        <w:numPr>
          <w:ilvl w:val="0"/>
          <w:numId w:val="2"/>
        </w:numPr>
        <w:spacing w:after="28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Integrated Reporting and Daily Patient Lists that sync with donor databases to drive coordinated action across teams.</w:t>
      </w:r>
    </w:p>
    <w:p w14:paraId="3E0D147C" w14:textId="77777777" w:rsidR="002C2542" w:rsidRPr="002C2542" w:rsidRDefault="002C2542" w:rsidP="002C2542">
      <w:pPr>
        <w:spacing w:after="0" w:line="240" w:lineRule="auto"/>
        <w:rPr>
          <w:rFonts w:ascii="Times New Roman" w:eastAsia="Times New Roman" w:hAnsi="Times New Roman" w:cs="Times New Roman"/>
          <w:kern w:val="0"/>
          <w14:ligatures w14:val="none"/>
        </w:rPr>
      </w:pPr>
    </w:p>
    <w:p w14:paraId="16D7A0FB"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b/>
          <w:bCs/>
          <w:color w:val="000000"/>
          <w:kern w:val="0"/>
          <w:sz w:val="27"/>
          <w:szCs w:val="27"/>
          <w14:ligatures w14:val="none"/>
        </w:rPr>
        <w:t>Outcomes Delivered</w:t>
      </w:r>
    </w:p>
    <w:p w14:paraId="69477F0B" w14:textId="77777777" w:rsidR="002C2542" w:rsidRPr="002C2542" w:rsidRDefault="002C2542" w:rsidP="002C2542">
      <w:pPr>
        <w:spacing w:before="280" w:after="280" w:line="240" w:lineRule="auto"/>
        <w:rPr>
          <w:rFonts w:ascii="Times New Roman" w:eastAsia="Times New Roman" w:hAnsi="Times New Roman" w:cs="Times New Roman"/>
          <w:kern w:val="0"/>
          <w14:ligatures w14:val="none"/>
        </w:rPr>
      </w:pPr>
      <w:r w:rsidRPr="002C2542">
        <w:rPr>
          <w:rFonts w:ascii="Times New Roman" w:eastAsia="Times New Roman" w:hAnsi="Times New Roman" w:cs="Times New Roman"/>
          <w:color w:val="000000"/>
          <w:kern w:val="0"/>
          <w14:ligatures w14:val="none"/>
        </w:rPr>
        <w:t>Prysm’s implementation results in measurable, transformative impact:</w:t>
      </w:r>
    </w:p>
    <w:p w14:paraId="76E1BC3C" w14:textId="77777777" w:rsidR="002C2542" w:rsidRPr="002C2542" w:rsidRDefault="002C2542" w:rsidP="002C2542">
      <w:pPr>
        <w:numPr>
          <w:ilvl w:val="0"/>
          <w:numId w:val="3"/>
        </w:numPr>
        <w:spacing w:before="280"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200–400% increase in patient qualification rates</w:t>
      </w:r>
    </w:p>
    <w:p w14:paraId="4CFF3192" w14:textId="77777777" w:rsidR="002C2542" w:rsidRPr="002C2542" w:rsidRDefault="002C2542" w:rsidP="002C2542">
      <w:pPr>
        <w:numPr>
          <w:ilvl w:val="0"/>
          <w:numId w:val="3"/>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90% reduction in onboarding time for new gift officers</w:t>
      </w:r>
    </w:p>
    <w:p w14:paraId="751D9DE7" w14:textId="77777777" w:rsidR="002C2542" w:rsidRPr="002C2542" w:rsidRDefault="002C2542" w:rsidP="002C2542">
      <w:pPr>
        <w:numPr>
          <w:ilvl w:val="0"/>
          <w:numId w:val="3"/>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$4.3 million in first-time gifts in one year (Providence case study)</w:t>
      </w:r>
    </w:p>
    <w:p w14:paraId="0C3FAE64" w14:textId="77777777" w:rsidR="002C2542" w:rsidRPr="002C2542" w:rsidRDefault="002C2542" w:rsidP="002C2542">
      <w:pPr>
        <w:numPr>
          <w:ilvl w:val="0"/>
          <w:numId w:val="3"/>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1,233% increase in donations from referred patients</w:t>
      </w:r>
    </w:p>
    <w:p w14:paraId="0211F565" w14:textId="77777777" w:rsidR="002C2542" w:rsidRPr="002C2542" w:rsidRDefault="002C2542" w:rsidP="002C2542">
      <w:pPr>
        <w:numPr>
          <w:ilvl w:val="0"/>
          <w:numId w:val="3"/>
        </w:numPr>
        <w:spacing w:after="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Over 70,000 physician panels analyzed in real-time</w:t>
      </w:r>
    </w:p>
    <w:p w14:paraId="05FFC69D" w14:textId="77777777" w:rsidR="002C2542" w:rsidRPr="002C2542" w:rsidRDefault="002C2542" w:rsidP="002C2542">
      <w:pPr>
        <w:numPr>
          <w:ilvl w:val="0"/>
          <w:numId w:val="3"/>
        </w:numPr>
        <w:spacing w:after="280" w:line="240" w:lineRule="auto"/>
        <w:textAlignment w:val="baseline"/>
        <w:rPr>
          <w:rFonts w:ascii="Times New Roman" w:eastAsia="Times New Roman" w:hAnsi="Times New Roman" w:cs="Times New Roman"/>
          <w:color w:val="000000"/>
          <w:kern w:val="0"/>
          <w:sz w:val="20"/>
          <w:szCs w:val="20"/>
          <w14:ligatures w14:val="none"/>
        </w:rPr>
      </w:pPr>
      <w:r w:rsidRPr="002C2542">
        <w:rPr>
          <w:rFonts w:ascii="Times New Roman" w:eastAsia="Times New Roman" w:hAnsi="Times New Roman" w:cs="Times New Roman"/>
          <w:color w:val="000000"/>
          <w:kern w:val="0"/>
          <w14:ligatures w14:val="none"/>
        </w:rPr>
        <w:t>Supports 10% annual portfolio growth in qualified prospects</w:t>
      </w:r>
    </w:p>
    <w:p w14:paraId="031D33EA" w14:textId="77777777" w:rsidR="002C2542" w:rsidRDefault="002C2542"/>
    <w:sectPr w:rsidR="002C2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F3707"/>
    <w:multiLevelType w:val="multilevel"/>
    <w:tmpl w:val="6682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81D5F"/>
    <w:multiLevelType w:val="multilevel"/>
    <w:tmpl w:val="0236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B4A59"/>
    <w:multiLevelType w:val="multilevel"/>
    <w:tmpl w:val="13BE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867500">
    <w:abstractNumId w:val="2"/>
  </w:num>
  <w:num w:numId="2" w16cid:durableId="2110422458">
    <w:abstractNumId w:val="1"/>
  </w:num>
  <w:num w:numId="3" w16cid:durableId="55693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42"/>
    <w:rsid w:val="002C2542"/>
    <w:rsid w:val="004D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9A54"/>
  <w15:chartTrackingRefBased/>
  <w15:docId w15:val="{A351A8B6-2F84-4283-A7AD-7009BF30F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542"/>
    <w:rPr>
      <w:rFonts w:eastAsiaTheme="majorEastAsia" w:cstheme="majorBidi"/>
      <w:color w:val="272727" w:themeColor="text1" w:themeTint="D8"/>
    </w:rPr>
  </w:style>
  <w:style w:type="paragraph" w:styleId="Title">
    <w:name w:val="Title"/>
    <w:basedOn w:val="Normal"/>
    <w:next w:val="Normal"/>
    <w:link w:val="TitleChar"/>
    <w:uiPriority w:val="10"/>
    <w:qFormat/>
    <w:rsid w:val="002C2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542"/>
    <w:pPr>
      <w:spacing w:before="160"/>
      <w:jc w:val="center"/>
    </w:pPr>
    <w:rPr>
      <w:i/>
      <w:iCs/>
      <w:color w:val="404040" w:themeColor="text1" w:themeTint="BF"/>
    </w:rPr>
  </w:style>
  <w:style w:type="character" w:customStyle="1" w:styleId="QuoteChar">
    <w:name w:val="Quote Char"/>
    <w:basedOn w:val="DefaultParagraphFont"/>
    <w:link w:val="Quote"/>
    <w:uiPriority w:val="29"/>
    <w:rsid w:val="002C2542"/>
    <w:rPr>
      <w:i/>
      <w:iCs/>
      <w:color w:val="404040" w:themeColor="text1" w:themeTint="BF"/>
    </w:rPr>
  </w:style>
  <w:style w:type="paragraph" w:styleId="ListParagraph">
    <w:name w:val="List Paragraph"/>
    <w:basedOn w:val="Normal"/>
    <w:uiPriority w:val="34"/>
    <w:qFormat/>
    <w:rsid w:val="002C2542"/>
    <w:pPr>
      <w:ind w:left="720"/>
      <w:contextualSpacing/>
    </w:pPr>
  </w:style>
  <w:style w:type="character" w:styleId="IntenseEmphasis">
    <w:name w:val="Intense Emphasis"/>
    <w:basedOn w:val="DefaultParagraphFont"/>
    <w:uiPriority w:val="21"/>
    <w:qFormat/>
    <w:rsid w:val="002C2542"/>
    <w:rPr>
      <w:i/>
      <w:iCs/>
      <w:color w:val="0F4761" w:themeColor="accent1" w:themeShade="BF"/>
    </w:rPr>
  </w:style>
  <w:style w:type="paragraph" w:styleId="IntenseQuote">
    <w:name w:val="Intense Quote"/>
    <w:basedOn w:val="Normal"/>
    <w:next w:val="Normal"/>
    <w:link w:val="IntenseQuoteChar"/>
    <w:uiPriority w:val="30"/>
    <w:qFormat/>
    <w:rsid w:val="002C2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542"/>
    <w:rPr>
      <w:i/>
      <w:iCs/>
      <w:color w:val="0F4761" w:themeColor="accent1" w:themeShade="BF"/>
    </w:rPr>
  </w:style>
  <w:style w:type="character" w:styleId="IntenseReference">
    <w:name w:val="Intense Reference"/>
    <w:basedOn w:val="DefaultParagraphFont"/>
    <w:uiPriority w:val="32"/>
    <w:qFormat/>
    <w:rsid w:val="002C2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1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gale</dc:creator>
  <cp:keywords/>
  <dc:description/>
  <cp:lastModifiedBy>tim gale</cp:lastModifiedBy>
  <cp:revision>1</cp:revision>
  <dcterms:created xsi:type="dcterms:W3CDTF">2025-07-20T22:24:00Z</dcterms:created>
  <dcterms:modified xsi:type="dcterms:W3CDTF">2025-07-20T22:25:00Z</dcterms:modified>
</cp:coreProperties>
</file>