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A7D" w:rsidRDefault="00B46A07" w:rsidP="00366637">
      <w:pPr>
        <w:pStyle w:val="Heading1"/>
      </w:pPr>
      <w:r>
        <w:t>Bonds &amp; Fixed Income Securities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011"/>
        <w:gridCol w:w="3416"/>
        <w:gridCol w:w="811"/>
        <w:gridCol w:w="3618"/>
      </w:tblGrid>
      <w:tr w:rsidR="00334A7D" w:rsidRPr="00A963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11" w:type="dxa"/>
            <w:vAlign w:val="bottom"/>
          </w:tcPr>
          <w:p w:rsidR="00334A7D" w:rsidRPr="00A96382" w:rsidRDefault="003700B9" w:rsidP="003700B9">
            <w:pPr>
              <w:pStyle w:val="StudentInformation"/>
            </w:pPr>
            <w:r>
              <w:t>Instructor</w:t>
            </w:r>
          </w:p>
        </w:tc>
        <w:tc>
          <w:tcPr>
            <w:tcW w:w="3416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  <w:tc>
          <w:tcPr>
            <w:tcW w:w="811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  <w:r w:rsidRPr="00A96382">
              <w:t>Name</w:t>
            </w:r>
          </w:p>
        </w:tc>
        <w:tc>
          <w:tcPr>
            <w:tcW w:w="3618" w:type="dxa"/>
            <w:tcBorders>
              <w:bottom w:val="single" w:sz="4" w:space="0" w:color="999999"/>
            </w:tcBorders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</w:tr>
      <w:tr w:rsidR="00334A7D" w:rsidRPr="00A963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11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  <w:tc>
          <w:tcPr>
            <w:tcW w:w="3416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  <w:tc>
          <w:tcPr>
            <w:tcW w:w="811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  <w:r w:rsidRPr="00A96382">
              <w:t>Class</w:t>
            </w:r>
          </w:p>
        </w:tc>
        <w:tc>
          <w:tcPr>
            <w:tcW w:w="3618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</w:tr>
      <w:tr w:rsidR="00334A7D" w:rsidRPr="00A963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11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  <w:tc>
          <w:tcPr>
            <w:tcW w:w="3416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  <w:tc>
          <w:tcPr>
            <w:tcW w:w="811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  <w:r w:rsidRPr="00A96382">
              <w:t>Period</w:t>
            </w:r>
          </w:p>
        </w:tc>
        <w:tc>
          <w:tcPr>
            <w:tcW w:w="3618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</w:tr>
      <w:tr w:rsidR="00334A7D" w:rsidRPr="00A9638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1011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  <w:tc>
          <w:tcPr>
            <w:tcW w:w="3416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  <w:tc>
          <w:tcPr>
            <w:tcW w:w="811" w:type="dxa"/>
            <w:vAlign w:val="bottom"/>
          </w:tcPr>
          <w:p w:rsidR="00334A7D" w:rsidRPr="00A96382" w:rsidRDefault="00334A7D" w:rsidP="003700B9">
            <w:pPr>
              <w:pStyle w:val="StudentInformation"/>
            </w:pPr>
            <w:r w:rsidRPr="00A96382">
              <w:t>Date</w:t>
            </w:r>
          </w:p>
        </w:tc>
        <w:tc>
          <w:tcPr>
            <w:tcW w:w="3618" w:type="dxa"/>
            <w:tcBorders>
              <w:top w:val="single" w:sz="4" w:space="0" w:color="999999"/>
              <w:bottom w:val="single" w:sz="4" w:space="0" w:color="999999"/>
            </w:tcBorders>
            <w:vAlign w:val="bottom"/>
          </w:tcPr>
          <w:p w:rsidR="00334A7D" w:rsidRPr="00A96382" w:rsidRDefault="00334A7D" w:rsidP="003700B9">
            <w:pPr>
              <w:pStyle w:val="StudentInformation"/>
            </w:pPr>
          </w:p>
        </w:tc>
      </w:tr>
    </w:tbl>
    <w:p w:rsidR="00334A7D" w:rsidRPr="00A96382" w:rsidRDefault="00B46A07" w:rsidP="003700B9">
      <w:pPr>
        <w:pStyle w:val="Instructions"/>
      </w:pPr>
      <w:r>
        <w:t>Read</w:t>
      </w:r>
      <w:r w:rsidR="00334A7D" w:rsidRPr="00A96382">
        <w:t xml:space="preserve"> each question carefully, </w:t>
      </w:r>
      <w:r w:rsidR="00990E28">
        <w:t xml:space="preserve">and </w:t>
      </w:r>
      <w:r w:rsidR="004857BF">
        <w:t>then write T (true) or F (false)</w:t>
      </w:r>
      <w:r w:rsidR="00334A7D" w:rsidRPr="00A96382">
        <w:t xml:space="preserve"> on the line next to the question.</w:t>
      </w:r>
    </w:p>
    <w:p w:rsidR="00334A7D" w:rsidRPr="00A96382" w:rsidRDefault="00334A7D" w:rsidP="003700B9">
      <w:pPr>
        <w:pStyle w:val="Rule"/>
      </w:pPr>
    </w:p>
    <w:p w:rsidR="00334A7D" w:rsidRPr="00A96382" w:rsidRDefault="00B46A07" w:rsidP="00F730D9">
      <w:pPr>
        <w:pStyle w:val="Question"/>
      </w:pPr>
      <w:r w:rsidRPr="00B46A07">
        <w:t>A bond is a financial cont</w:t>
      </w:r>
      <w:r>
        <w:t xml:space="preserve">ract where one </w:t>
      </w:r>
      <w:r w:rsidR="00864A95">
        <w:t>-</w:t>
      </w:r>
      <w:r>
        <w:t>party, the debt</w:t>
      </w:r>
      <w:r w:rsidRPr="00B46A07">
        <w:t>or, loan</w:t>
      </w:r>
      <w:r>
        <w:t>s money to the borrower, or credit</w:t>
      </w:r>
      <w:r w:rsidRPr="00B46A07">
        <w:t>or, in return for a series of fixed interest payments and the return of the face value, or par value of the bond.</w:t>
      </w:r>
    </w:p>
    <w:p w:rsidR="00990E28" w:rsidRPr="00A96382" w:rsidRDefault="00B46A07" w:rsidP="00990E28">
      <w:pPr>
        <w:pStyle w:val="Question"/>
      </w:pPr>
      <w:r>
        <w:t xml:space="preserve">Fixed income securities pay a fixed amount and promise to return your principal at some point in the future. </w:t>
      </w:r>
    </w:p>
    <w:p w:rsidR="00990E28" w:rsidRPr="00A96382" w:rsidRDefault="00A77B85" w:rsidP="00990E28">
      <w:pPr>
        <w:pStyle w:val="Question"/>
      </w:pPr>
      <w:r>
        <w:t>Fixed income securities often appeal to people in their 20’s.</w:t>
      </w:r>
    </w:p>
    <w:p w:rsidR="009637B0" w:rsidRPr="00A96382" w:rsidRDefault="00A77B85" w:rsidP="009637B0">
      <w:pPr>
        <w:pStyle w:val="Question"/>
      </w:pPr>
      <w:r>
        <w:t>US Treasury is the largest issuer of debt securities in the world.</w:t>
      </w:r>
    </w:p>
    <w:p w:rsidR="00990E28" w:rsidRPr="00A96382" w:rsidRDefault="00A77B85" w:rsidP="00990E28">
      <w:pPr>
        <w:pStyle w:val="Question"/>
      </w:pPr>
      <w:r>
        <w:t>Bondholders have priority over stockholders.</w:t>
      </w:r>
    </w:p>
    <w:p w:rsidR="000E38E6" w:rsidRDefault="00A77B85" w:rsidP="004857BF">
      <w:pPr>
        <w:pStyle w:val="Question"/>
      </w:pPr>
      <w:r>
        <w:t>Bond yield is the rate of return if you hold the bond until maturity.</w:t>
      </w:r>
    </w:p>
    <w:p w:rsidR="004857BF" w:rsidRDefault="00A77B85" w:rsidP="004857BF">
      <w:pPr>
        <w:pStyle w:val="Question"/>
      </w:pPr>
      <w:r>
        <w:t>Market interest rates and bond prices move in the same direction.</w:t>
      </w:r>
    </w:p>
    <w:p w:rsidR="004857BF" w:rsidRDefault="00864A95" w:rsidP="004857BF">
      <w:pPr>
        <w:pStyle w:val="Question"/>
      </w:pPr>
      <w:r>
        <w:t>Bonds are considered less risky than stocks</w:t>
      </w:r>
      <w:r w:rsidR="00272EA7">
        <w:t>.</w:t>
      </w:r>
    </w:p>
    <w:p w:rsidR="004857BF" w:rsidRDefault="00864A95" w:rsidP="004857BF">
      <w:pPr>
        <w:pStyle w:val="Question"/>
      </w:pPr>
      <w:r>
        <w:t xml:space="preserve">If you sell a </w:t>
      </w:r>
      <w:r w:rsidR="00272EA7">
        <w:t>CD before the maturity date there is usually not penalty or fee.</w:t>
      </w:r>
    </w:p>
    <w:p w:rsidR="004857BF" w:rsidRDefault="00272EA7" w:rsidP="004857BF">
      <w:pPr>
        <w:pStyle w:val="Question"/>
      </w:pPr>
      <w:r>
        <w:t>A call feature on a bond means the issuer can call away your bond in exchange for cash payment in excess of the face value, before the maturity date.</w:t>
      </w:r>
    </w:p>
    <w:p w:rsidR="004857BF" w:rsidRDefault="00272EA7" w:rsidP="004857BF">
      <w:pPr>
        <w:pStyle w:val="Question"/>
      </w:pPr>
      <w:r>
        <w:t>Default risk means inflation will reduce the buying power of your future fixed cash flows.</w:t>
      </w:r>
    </w:p>
    <w:p w:rsidR="004857BF" w:rsidRDefault="00272EA7" w:rsidP="004857BF">
      <w:pPr>
        <w:pStyle w:val="Question"/>
      </w:pPr>
      <w:r>
        <w:t xml:space="preserve">Interest rate risk means interest rate rise will cause bond prices to fall. </w:t>
      </w:r>
    </w:p>
    <w:p w:rsidR="003E7A5A" w:rsidRPr="00A96382" w:rsidRDefault="003E7A5A" w:rsidP="003E7A5A">
      <w:pPr>
        <w:pStyle w:val="Question"/>
        <w:numPr>
          <w:ilvl w:val="0"/>
          <w:numId w:val="48"/>
        </w:numPr>
      </w:pPr>
      <w:r>
        <w:br w:type="page"/>
      </w:r>
      <w:r w:rsidRPr="003E7A5A">
        <w:rPr>
          <w:b/>
          <w:color w:val="FF0000"/>
          <w:sz w:val="22"/>
          <w:szCs w:val="22"/>
        </w:rPr>
        <w:lastRenderedPageBreak/>
        <w:t>F</w:t>
      </w:r>
      <w:bookmarkStart w:id="0" w:name="_GoBack"/>
      <w:bookmarkEnd w:id="0"/>
      <w:r>
        <w:t xml:space="preserve">     </w:t>
      </w:r>
      <w:r w:rsidRPr="00B46A07">
        <w:t>A bond is a financial cont</w:t>
      </w:r>
      <w:r>
        <w:t>ract where one -party, the debt</w:t>
      </w:r>
      <w:r w:rsidRPr="00B46A07">
        <w:t>or, loan</w:t>
      </w:r>
      <w:r>
        <w:t>s money to the borrower, or credit</w:t>
      </w:r>
      <w:r w:rsidRPr="00B46A07">
        <w:t>or, in return for a series of fixed interest payments and the return of the face value, or par value of the bond.</w:t>
      </w:r>
    </w:p>
    <w:p w:rsidR="003E7A5A" w:rsidRPr="00A96382" w:rsidRDefault="003E7A5A" w:rsidP="003E7A5A">
      <w:pPr>
        <w:pStyle w:val="Question"/>
      </w:pPr>
      <w:r w:rsidRPr="003E7A5A">
        <w:rPr>
          <w:b/>
          <w:color w:val="FF0000"/>
          <w:sz w:val="22"/>
          <w:szCs w:val="22"/>
        </w:rPr>
        <w:t>T</w:t>
      </w:r>
      <w:r>
        <w:t xml:space="preserve">    </w:t>
      </w:r>
      <w:r>
        <w:t xml:space="preserve">Fixed income securities pay a fixed amount and promise to return your principal at some point in the future. </w:t>
      </w:r>
    </w:p>
    <w:p w:rsidR="003E7A5A" w:rsidRPr="00A96382" w:rsidRDefault="003E7A5A" w:rsidP="003E7A5A">
      <w:pPr>
        <w:pStyle w:val="Question"/>
      </w:pPr>
      <w:r w:rsidRPr="003E7A5A">
        <w:rPr>
          <w:b/>
          <w:color w:val="FF0000"/>
          <w:sz w:val="22"/>
          <w:szCs w:val="22"/>
        </w:rPr>
        <w:t>F</w:t>
      </w:r>
      <w:r>
        <w:t xml:space="preserve">    </w:t>
      </w:r>
      <w:r>
        <w:t>Fixed income securities often appeal to people in their 20’s.</w:t>
      </w:r>
    </w:p>
    <w:p w:rsidR="003E7A5A" w:rsidRPr="00A96382" w:rsidRDefault="003E7A5A" w:rsidP="003E7A5A">
      <w:pPr>
        <w:pStyle w:val="Question"/>
      </w:pPr>
      <w:r w:rsidRPr="003E7A5A">
        <w:rPr>
          <w:b/>
          <w:color w:val="FF0000"/>
          <w:sz w:val="22"/>
          <w:szCs w:val="22"/>
        </w:rPr>
        <w:t>T</w:t>
      </w:r>
      <w:r>
        <w:t xml:space="preserve">     </w:t>
      </w:r>
      <w:r>
        <w:t>US Treasury is the largest issuer of debt securities in the world.</w:t>
      </w:r>
    </w:p>
    <w:p w:rsidR="003E7A5A" w:rsidRPr="00A96382" w:rsidRDefault="003E7A5A" w:rsidP="003E7A5A">
      <w:pPr>
        <w:pStyle w:val="Question"/>
      </w:pPr>
      <w:r w:rsidRPr="003E7A5A">
        <w:rPr>
          <w:b/>
          <w:color w:val="FF0000"/>
          <w:sz w:val="22"/>
          <w:szCs w:val="22"/>
        </w:rPr>
        <w:t>T</w:t>
      </w:r>
      <w:r>
        <w:t xml:space="preserve">    </w:t>
      </w:r>
      <w:r>
        <w:t>Bondholders have priority over stockholders.</w:t>
      </w:r>
    </w:p>
    <w:p w:rsidR="003E7A5A" w:rsidRDefault="003E7A5A" w:rsidP="003E7A5A">
      <w:pPr>
        <w:pStyle w:val="Question"/>
      </w:pPr>
      <w:r w:rsidRPr="003E7A5A">
        <w:rPr>
          <w:b/>
          <w:color w:val="FF0000"/>
          <w:sz w:val="22"/>
          <w:szCs w:val="22"/>
        </w:rPr>
        <w:t>T</w:t>
      </w:r>
      <w:r>
        <w:t xml:space="preserve">     </w:t>
      </w:r>
      <w:r>
        <w:t>Bond yield is the rate of return if you hold the bond until maturity.</w:t>
      </w:r>
    </w:p>
    <w:p w:rsidR="003E7A5A" w:rsidRDefault="003E7A5A" w:rsidP="003E7A5A">
      <w:pPr>
        <w:pStyle w:val="Question"/>
      </w:pPr>
      <w:r w:rsidRPr="003E7A5A">
        <w:rPr>
          <w:b/>
          <w:color w:val="FF0000"/>
          <w:sz w:val="22"/>
          <w:szCs w:val="22"/>
        </w:rPr>
        <w:t>F</w:t>
      </w:r>
      <w:r>
        <w:t xml:space="preserve">     </w:t>
      </w:r>
      <w:r>
        <w:t>Market interest rates and bond prices move in the same direction.</w:t>
      </w:r>
    </w:p>
    <w:p w:rsidR="003E7A5A" w:rsidRDefault="003E7A5A" w:rsidP="003E7A5A">
      <w:pPr>
        <w:pStyle w:val="Question"/>
      </w:pPr>
      <w:r>
        <w:t xml:space="preserve"> </w:t>
      </w:r>
      <w:r w:rsidRPr="003E7A5A">
        <w:rPr>
          <w:b/>
          <w:color w:val="FF0000"/>
          <w:sz w:val="22"/>
          <w:szCs w:val="22"/>
        </w:rPr>
        <w:t xml:space="preserve">T </w:t>
      </w:r>
      <w:r>
        <w:t xml:space="preserve">  </w:t>
      </w:r>
      <w:r>
        <w:t>Bonds are considered less risky than stocks.</w:t>
      </w:r>
    </w:p>
    <w:p w:rsidR="003E7A5A" w:rsidRDefault="003E7A5A" w:rsidP="003E7A5A">
      <w:pPr>
        <w:pStyle w:val="Question"/>
      </w:pPr>
      <w:r w:rsidRPr="003E7A5A">
        <w:rPr>
          <w:b/>
          <w:color w:val="FF0000"/>
          <w:sz w:val="22"/>
          <w:szCs w:val="22"/>
        </w:rPr>
        <w:t xml:space="preserve">F </w:t>
      </w:r>
      <w:r>
        <w:t xml:space="preserve">   </w:t>
      </w:r>
      <w:r>
        <w:t>If you sell a CD before the maturity date there is usually not penalty or fee.</w:t>
      </w:r>
    </w:p>
    <w:p w:rsidR="003E7A5A" w:rsidRDefault="003E7A5A" w:rsidP="003E7A5A">
      <w:pPr>
        <w:pStyle w:val="Question"/>
      </w:pPr>
      <w:r w:rsidRPr="003E7A5A">
        <w:rPr>
          <w:b/>
          <w:color w:val="FF0000"/>
          <w:sz w:val="22"/>
          <w:szCs w:val="22"/>
        </w:rPr>
        <w:t xml:space="preserve">T </w:t>
      </w:r>
      <w:r>
        <w:t xml:space="preserve">  </w:t>
      </w:r>
      <w:r>
        <w:t>A call feature on a bond means the issuer can call away your bond in exchange for cash payment in excess of the face value, before the maturity date.</w:t>
      </w:r>
    </w:p>
    <w:p w:rsidR="003E7A5A" w:rsidRDefault="003E7A5A" w:rsidP="003E7A5A">
      <w:pPr>
        <w:pStyle w:val="Question"/>
      </w:pPr>
      <w:r w:rsidRPr="003E7A5A">
        <w:rPr>
          <w:b/>
          <w:color w:val="FF0000"/>
          <w:sz w:val="22"/>
          <w:szCs w:val="22"/>
        </w:rPr>
        <w:t>F</w:t>
      </w:r>
      <w:r>
        <w:t xml:space="preserve">    </w:t>
      </w:r>
      <w:r>
        <w:t>Default risk means inflation will reduce the buying power of your future fixed cash flows.</w:t>
      </w:r>
    </w:p>
    <w:p w:rsidR="003E7A5A" w:rsidRPr="00A96382" w:rsidRDefault="003E7A5A" w:rsidP="003E7A5A">
      <w:pPr>
        <w:pStyle w:val="Question"/>
      </w:pPr>
      <w:r w:rsidRPr="003E7A5A">
        <w:rPr>
          <w:b/>
          <w:color w:val="FF0000"/>
          <w:sz w:val="22"/>
          <w:szCs w:val="22"/>
        </w:rPr>
        <w:t>T</w:t>
      </w:r>
      <w:r>
        <w:t xml:space="preserve">  </w:t>
      </w:r>
      <w:r>
        <w:t xml:space="preserve">Interest rate risk means interest rate rise will cause bond prices to fall. </w:t>
      </w:r>
    </w:p>
    <w:p w:rsidR="003E7A5A" w:rsidRPr="00A96382" w:rsidRDefault="003E7A5A" w:rsidP="003E7A5A">
      <w:pPr>
        <w:pStyle w:val="Question"/>
        <w:numPr>
          <w:ilvl w:val="0"/>
          <w:numId w:val="0"/>
        </w:numPr>
        <w:ind w:left="720"/>
      </w:pPr>
    </w:p>
    <w:p w:rsidR="009D463F" w:rsidRPr="00A96382" w:rsidRDefault="009D463F" w:rsidP="009D463F">
      <w:pPr>
        <w:pStyle w:val="Question"/>
        <w:numPr>
          <w:ilvl w:val="0"/>
          <w:numId w:val="0"/>
        </w:numPr>
        <w:ind w:left="720"/>
      </w:pPr>
    </w:p>
    <w:sectPr w:rsidR="009D463F" w:rsidRPr="00A96382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6EA" w:rsidRDefault="006D06EA" w:rsidP="00334A7D">
      <w:r>
        <w:separator/>
      </w:r>
    </w:p>
  </w:endnote>
  <w:endnote w:type="continuationSeparator" w:id="0">
    <w:p w:rsidR="006D06EA" w:rsidRDefault="006D06EA" w:rsidP="00334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EF4" w:rsidRDefault="004A3EF4" w:rsidP="0036663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D06E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6EA" w:rsidRDefault="006D06EA" w:rsidP="00334A7D">
      <w:r>
        <w:separator/>
      </w:r>
    </w:p>
  </w:footnote>
  <w:footnote w:type="continuationSeparator" w:id="0">
    <w:p w:rsidR="006D06EA" w:rsidRDefault="006D06EA" w:rsidP="00334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F2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">
    <w:nsid w:val="0601087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entury Gothic" w:hAnsi="Century Gothic"/>
        <w:sz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>
    <w:nsid w:val="062E52F2"/>
    <w:multiLevelType w:val="multilevel"/>
    <w:tmpl w:val="B6E60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B3A6EDD"/>
    <w:multiLevelType w:val="hybridMultilevel"/>
    <w:tmpl w:val="A6DA7C8A"/>
    <w:lvl w:ilvl="0" w:tplc="04090019">
      <w:start w:val="1"/>
      <w:numFmt w:val="lowerLetter"/>
      <w:lvlText w:val="%1."/>
      <w:lvlJc w:val="left"/>
      <w:pPr>
        <w:tabs>
          <w:tab w:val="num" w:pos="1860"/>
        </w:tabs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80"/>
        </w:tabs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00"/>
        </w:tabs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20"/>
        </w:tabs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740"/>
        </w:tabs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60"/>
        </w:tabs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80"/>
        </w:tabs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900"/>
        </w:tabs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620"/>
        </w:tabs>
        <w:ind w:left="7620" w:hanging="180"/>
      </w:pPr>
    </w:lvl>
  </w:abstractNum>
  <w:abstractNum w:abstractNumId="4">
    <w:nsid w:val="0B9A454A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5">
    <w:nsid w:val="114D7887"/>
    <w:multiLevelType w:val="hybridMultilevel"/>
    <w:tmpl w:val="AC5A6A7E"/>
    <w:lvl w:ilvl="0" w:tplc="4E662DF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99218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>
    <w:nsid w:val="217418A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C48C5"/>
    <w:multiLevelType w:val="hybridMultilevel"/>
    <w:tmpl w:val="06007402"/>
    <w:lvl w:ilvl="0" w:tplc="00C2648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C1EA61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96B16A2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0">
    <w:nsid w:val="297C307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entury Gothic" w:hAnsi="Century Gothic"/>
        <w:sz w:val="18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Century Gothic" w:hAnsi="Century Gothic"/>
        <w:sz w:val="18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D177B7F"/>
    <w:multiLevelType w:val="hybridMultilevel"/>
    <w:tmpl w:val="D974B5D2"/>
    <w:lvl w:ilvl="0" w:tplc="C14068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DC771A9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3">
    <w:nsid w:val="2E006EB2"/>
    <w:multiLevelType w:val="hybridMultilevel"/>
    <w:tmpl w:val="CA083F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EF10E6"/>
    <w:multiLevelType w:val="multilevel"/>
    <w:tmpl w:val="B6E60E3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3F25FF"/>
    <w:multiLevelType w:val="hybridMultilevel"/>
    <w:tmpl w:val="8E747A30"/>
    <w:lvl w:ilvl="0" w:tplc="31BC50E8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5595FDB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7">
    <w:nsid w:val="3BA60004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18">
    <w:nsid w:val="3C25055F"/>
    <w:multiLevelType w:val="multilevel"/>
    <w:tmpl w:val="000C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4B305E"/>
    <w:multiLevelType w:val="multilevel"/>
    <w:tmpl w:val="61E406A4"/>
    <w:lvl w:ilvl="0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D96A85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1">
    <w:nsid w:val="3E865FEC"/>
    <w:multiLevelType w:val="hybridMultilevel"/>
    <w:tmpl w:val="2700B6C4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>
    <w:nsid w:val="44B058C0"/>
    <w:multiLevelType w:val="multilevel"/>
    <w:tmpl w:val="300A4DB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9B43C15"/>
    <w:multiLevelType w:val="hybridMultilevel"/>
    <w:tmpl w:val="3F60A2CE"/>
    <w:lvl w:ilvl="0" w:tplc="A63E14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E4C10A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4C6E57CF"/>
    <w:multiLevelType w:val="hybridMultilevel"/>
    <w:tmpl w:val="C48019FE"/>
    <w:lvl w:ilvl="0" w:tplc="91D29A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4D68509A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6">
    <w:nsid w:val="5772679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5890475A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>
    <w:nsid w:val="59403FF4"/>
    <w:multiLevelType w:val="multilevel"/>
    <w:tmpl w:val="0168507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95F5539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>
    <w:nsid w:val="65861C75"/>
    <w:multiLevelType w:val="multilevel"/>
    <w:tmpl w:val="9304AF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8B12E66"/>
    <w:multiLevelType w:val="multilevel"/>
    <w:tmpl w:val="87207A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440" w:hanging="1080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440"/>
        </w:tabs>
        <w:ind w:left="1440" w:firstLine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440"/>
        </w:tabs>
        <w:ind w:left="1440" w:firstLine="72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firstLine="108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40"/>
        </w:tabs>
        <w:ind w:left="1440" w:firstLine="1440"/>
      </w:pPr>
      <w:rPr>
        <w:rFonts w:hint="default"/>
      </w:rPr>
    </w:lvl>
  </w:abstractNum>
  <w:abstractNum w:abstractNumId="32">
    <w:nsid w:val="69C60F7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3">
    <w:nsid w:val="6A02277F"/>
    <w:multiLevelType w:val="multilevel"/>
    <w:tmpl w:val="8E747A30"/>
    <w:lvl w:ilvl="0">
      <w:start w:val="1"/>
      <w:numFmt w:val="lowerLetter"/>
      <w:lvlText w:val="%1)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580501"/>
    <w:multiLevelType w:val="hybridMultilevel"/>
    <w:tmpl w:val="684A5020"/>
    <w:lvl w:ilvl="0" w:tplc="04080DF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CCA48BB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6">
    <w:nsid w:val="711E6146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7">
    <w:nsid w:val="71951EDB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8">
    <w:nsid w:val="71DD00F7"/>
    <w:multiLevelType w:val="multilevel"/>
    <w:tmpl w:val="9A1C8920"/>
    <w:lvl w:ilvl="0">
      <w:start w:val="1"/>
      <w:numFmt w:val="lowerLetter"/>
      <w:lvlText w:val="%1)"/>
      <w:lvlJc w:val="left"/>
      <w:pPr>
        <w:tabs>
          <w:tab w:val="num" w:pos="360"/>
        </w:tabs>
        <w:ind w:left="1080" w:hanging="360"/>
      </w:pPr>
      <w:rPr>
        <w:rFonts w:ascii="Century Gothic" w:hAnsi="Century Gothic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ascii="Century Gothic" w:hAnsi="Century Gothic" w:hint="default"/>
        <w:sz w:val="18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9">
    <w:nsid w:val="7D23048B"/>
    <w:multiLevelType w:val="hybridMultilevel"/>
    <w:tmpl w:val="461ACC50"/>
    <w:lvl w:ilvl="0" w:tplc="F98E4E04">
      <w:start w:val="1"/>
      <w:numFmt w:val="decimal"/>
      <w:pStyle w:val="Question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4F034D"/>
    <w:multiLevelType w:val="multilevel"/>
    <w:tmpl w:val="300A4DB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1"/>
  </w:num>
  <w:num w:numId="2">
    <w:abstractNumId w:val="24"/>
  </w:num>
  <w:num w:numId="3">
    <w:abstractNumId w:val="3"/>
  </w:num>
  <w:num w:numId="4">
    <w:abstractNumId w:val="13"/>
  </w:num>
  <w:num w:numId="5">
    <w:abstractNumId w:val="23"/>
  </w:num>
  <w:num w:numId="6">
    <w:abstractNumId w:val="5"/>
  </w:num>
  <w:num w:numId="7">
    <w:abstractNumId w:val="34"/>
  </w:num>
  <w:num w:numId="8">
    <w:abstractNumId w:val="8"/>
  </w:num>
  <w:num w:numId="9">
    <w:abstractNumId w:val="12"/>
  </w:num>
  <w:num w:numId="10">
    <w:abstractNumId w:val="15"/>
  </w:num>
  <w:num w:numId="11">
    <w:abstractNumId w:val="2"/>
  </w:num>
  <w:num w:numId="12">
    <w:abstractNumId w:val="14"/>
  </w:num>
  <w:num w:numId="13">
    <w:abstractNumId w:val="28"/>
  </w:num>
  <w:num w:numId="14">
    <w:abstractNumId w:val="40"/>
  </w:num>
  <w:num w:numId="15">
    <w:abstractNumId w:val="15"/>
    <w:lvlOverride w:ilvl="0">
      <w:startOverride w:val="1"/>
    </w:lvlOverride>
  </w:num>
  <w:num w:numId="16">
    <w:abstractNumId w:val="30"/>
  </w:num>
  <w:num w:numId="17">
    <w:abstractNumId w:val="15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15"/>
    <w:lvlOverride w:ilvl="0">
      <w:startOverride w:val="1"/>
    </w:lvlOverride>
  </w:num>
  <w:num w:numId="21">
    <w:abstractNumId w:val="19"/>
  </w:num>
  <w:num w:numId="22">
    <w:abstractNumId w:val="33"/>
  </w:num>
  <w:num w:numId="23">
    <w:abstractNumId w:val="11"/>
  </w:num>
  <w:num w:numId="24">
    <w:abstractNumId w:val="7"/>
  </w:num>
  <w:num w:numId="25">
    <w:abstractNumId w:val="11"/>
    <w:lvlOverride w:ilvl="0">
      <w:startOverride w:val="1"/>
    </w:lvlOverride>
  </w:num>
  <w:num w:numId="26">
    <w:abstractNumId w:val="1"/>
  </w:num>
  <w:num w:numId="27">
    <w:abstractNumId w:val="10"/>
  </w:num>
  <w:num w:numId="28">
    <w:abstractNumId w:val="31"/>
  </w:num>
  <w:num w:numId="29">
    <w:abstractNumId w:val="37"/>
  </w:num>
  <w:num w:numId="30">
    <w:abstractNumId w:val="16"/>
  </w:num>
  <w:num w:numId="31">
    <w:abstractNumId w:val="17"/>
  </w:num>
  <w:num w:numId="32">
    <w:abstractNumId w:val="0"/>
  </w:num>
  <w:num w:numId="33">
    <w:abstractNumId w:val="35"/>
  </w:num>
  <w:num w:numId="34">
    <w:abstractNumId w:val="32"/>
  </w:num>
  <w:num w:numId="35">
    <w:abstractNumId w:val="36"/>
  </w:num>
  <w:num w:numId="36">
    <w:abstractNumId w:val="22"/>
  </w:num>
  <w:num w:numId="37">
    <w:abstractNumId w:val="20"/>
  </w:num>
  <w:num w:numId="38">
    <w:abstractNumId w:val="4"/>
  </w:num>
  <w:num w:numId="39">
    <w:abstractNumId w:val="25"/>
  </w:num>
  <w:num w:numId="40">
    <w:abstractNumId w:val="39"/>
  </w:num>
  <w:num w:numId="41">
    <w:abstractNumId w:val="18"/>
  </w:num>
  <w:num w:numId="42">
    <w:abstractNumId w:val="26"/>
  </w:num>
  <w:num w:numId="43">
    <w:abstractNumId w:val="9"/>
  </w:num>
  <w:num w:numId="44">
    <w:abstractNumId w:val="29"/>
  </w:num>
  <w:num w:numId="45">
    <w:abstractNumId w:val="6"/>
  </w:num>
  <w:num w:numId="46">
    <w:abstractNumId w:val="27"/>
  </w:num>
  <w:num w:numId="47">
    <w:abstractNumId w:val="38"/>
  </w:num>
  <w:num w:numId="48">
    <w:abstractNumId w:val="3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46A07"/>
    <w:rsid w:val="00013C7A"/>
    <w:rsid w:val="00094A78"/>
    <w:rsid w:val="000E38E6"/>
    <w:rsid w:val="00272EA7"/>
    <w:rsid w:val="002C07AA"/>
    <w:rsid w:val="00334A7D"/>
    <w:rsid w:val="00334B8A"/>
    <w:rsid w:val="00361489"/>
    <w:rsid w:val="00366637"/>
    <w:rsid w:val="003700B9"/>
    <w:rsid w:val="003E7A5A"/>
    <w:rsid w:val="00482CC0"/>
    <w:rsid w:val="004857BF"/>
    <w:rsid w:val="004A3EF4"/>
    <w:rsid w:val="006D06EA"/>
    <w:rsid w:val="00864A95"/>
    <w:rsid w:val="008A57C4"/>
    <w:rsid w:val="009355AB"/>
    <w:rsid w:val="009637B0"/>
    <w:rsid w:val="00990E28"/>
    <w:rsid w:val="009D463F"/>
    <w:rsid w:val="00A77B85"/>
    <w:rsid w:val="00A96382"/>
    <w:rsid w:val="00B46A07"/>
    <w:rsid w:val="00B5422C"/>
    <w:rsid w:val="00B6220C"/>
    <w:rsid w:val="00BE0B34"/>
    <w:rsid w:val="00E125F9"/>
    <w:rsid w:val="00F7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EF4"/>
    <w:pPr>
      <w:spacing w:line="312" w:lineRule="auto"/>
    </w:pPr>
    <w:rPr>
      <w:rFonts w:ascii="Century Gothic" w:hAnsi="Century Gothic"/>
      <w:sz w:val="18"/>
      <w:szCs w:val="24"/>
    </w:rPr>
  </w:style>
  <w:style w:type="paragraph" w:styleId="Heading1">
    <w:name w:val="heading 1"/>
    <w:basedOn w:val="Normal"/>
    <w:next w:val="Normal"/>
    <w:qFormat/>
    <w:rsid w:val="00094A78"/>
    <w:pPr>
      <w:spacing w:after="400"/>
      <w:jc w:val="center"/>
      <w:outlineLvl w:val="0"/>
    </w:pPr>
    <w:rPr>
      <w:sz w:val="3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Instructions">
    <w:name w:val="Instructions"/>
    <w:basedOn w:val="Normal"/>
    <w:rsid w:val="00094A78"/>
    <w:pPr>
      <w:spacing w:before="400" w:line="240" w:lineRule="auto"/>
    </w:pPr>
    <w:rPr>
      <w:i/>
      <w:sz w:val="16"/>
    </w:rPr>
  </w:style>
  <w:style w:type="paragraph" w:styleId="Footer">
    <w:name w:val="footer"/>
    <w:basedOn w:val="Normal"/>
    <w:rsid w:val="00366637"/>
    <w:pPr>
      <w:jc w:val="center"/>
    </w:pPr>
  </w:style>
  <w:style w:type="paragraph" w:customStyle="1" w:styleId="Question">
    <w:name w:val="Question"/>
    <w:basedOn w:val="Normal"/>
    <w:rsid w:val="009637B0"/>
    <w:pPr>
      <w:numPr>
        <w:numId w:val="40"/>
      </w:numPr>
      <w:tabs>
        <w:tab w:val="left" w:leader="underscore" w:pos="720"/>
      </w:tabs>
      <w:spacing w:before="240"/>
    </w:pPr>
  </w:style>
  <w:style w:type="paragraph" w:customStyle="1" w:styleId="Rule">
    <w:name w:val="Rule"/>
    <w:basedOn w:val="Normal"/>
    <w:rsid w:val="009637B0"/>
    <w:pPr>
      <w:pBdr>
        <w:bottom w:val="single" w:sz="4" w:space="1" w:color="999999"/>
      </w:pBdr>
      <w:spacing w:after="240" w:line="240" w:lineRule="auto"/>
    </w:pPr>
    <w:rPr>
      <w:sz w:val="16"/>
    </w:rPr>
  </w:style>
  <w:style w:type="paragraph" w:customStyle="1" w:styleId="StudentInformation">
    <w:name w:val="Student Information"/>
    <w:basedOn w:val="Normal"/>
    <w:rsid w:val="004A3EF4"/>
    <w:pPr>
      <w:spacing w:line="240" w:lineRule="auto"/>
    </w:pPr>
    <w:rPr>
      <w:szCs w:val="16"/>
    </w:rPr>
  </w:style>
  <w:style w:type="paragraph" w:styleId="BalloonText">
    <w:name w:val="Balloon Text"/>
    <w:basedOn w:val="Normal"/>
    <w:semiHidden/>
    <w:rsid w:val="00A96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eifried\AppData\Roaming\Microsoft\Templates\True%20or%20false%20tes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True or false test</Template>
  <TotalTime>48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Bonds &amp; Fixed Income Securities</vt:lpstr>
    </vt:vector>
  </TitlesOfParts>
  <Company>Microsoft Corporation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Marquita Seifried</dc:creator>
  <cp:lastModifiedBy>Marquita Seifried</cp:lastModifiedBy>
  <cp:revision>2</cp:revision>
  <cp:lastPrinted>2004-01-22T15:32:00Z</cp:lastPrinted>
  <dcterms:created xsi:type="dcterms:W3CDTF">2018-12-28T01:36:00Z</dcterms:created>
  <dcterms:modified xsi:type="dcterms:W3CDTF">2018-12-28T02:24:00Z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TC010183821033</vt:lpwstr>
  </property>
</Properties>
</file>