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095500" cy="3905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w:pPr>
        <w:spacing w:after="240" w:before="1800"/>
      </w:pPr>
      <w:r>
        <w:rPr>
          <w:rFonts w:ascii="Calibri" w:cs="Calibri" w:eastAsia="Calibri" w:hAnsi="Calibri"/>
          <w:b/>
          <w:bCs/>
          <w:color w:val="14B8A6"/>
          <w:spacing w:val="80"/>
          <w:sz w:val="18"/>
          <w:szCs w:val="18"/>
        </w:rPr>
        <w:t xml:space="preserve">GOVERNANCE CHARTER</w:t>
      </w:r>
    </w:p>
    <w:p>
      <w:pPr>
        <w:spacing w:after="120"/>
      </w:pPr>
      <w:r>
        <w:rPr>
          <w:rFonts w:ascii="Calibri" w:cs="Calibri" w:eastAsia="Calibri" w:hAnsi="Calibri"/>
          <w:b/>
          <w:bCs/>
          <w:color w:val="0B1F3A"/>
          <w:sz w:val="56"/>
          <w:szCs w:val="56"/>
        </w:rPr>
        <w:t xml:space="preserve">Phase 1 Governance</w:t>
      </w:r>
    </w:p>
    <w:p>
      <w:pPr>
        <w:spacing w:after="120"/>
      </w:pPr>
      <w:r>
        <w:rPr>
          <w:rFonts w:ascii="Calibri" w:cs="Calibri" w:eastAsia="Calibri" w:hAnsi="Calibri"/>
          <w:b/>
          <w:bCs/>
          <w:color w:val="0B1F3A"/>
          <w:sz w:val="56"/>
          <w:szCs w:val="56"/>
        </w:rPr>
        <w:t xml:space="preserve">Charter</w:t>
      </w:r>
    </w:p>
    <w:p>
      <w:pPr>
        <w:spacing w:after="480"/>
      </w:pPr>
      <w:r>
        <w:rPr>
          <w:rFonts w:ascii="Calibri" w:cs="Calibri" w:eastAsia="Calibri" w:hAnsi="Calibri"/>
          <w:i/>
          <w:iCs/>
          <w:color w:val="0D9488"/>
          <w:sz w:val="24"/>
          <w:szCs w:val="24"/>
        </w:rPr>
        <w:t xml:space="preserve">How ECS and Connection will work together to deliver an OOTB-first ServiceNow platform</w:t>
      </w:r>
    </w:p>
    <w:p>
      <w:pPr>
        <w:pBdr>
          <w:bottom w:val="single" w:color="14B8A6" w:sz="12" w:space="1"/>
        </w:pBdr>
      </w:pPr>
      <w:r>
        <w:t xml:space="preserve"/>
      </w:r>
    </w:p>
    <w:p>
      <w:pPr>
        <w:spacing w:after="60" w:before="200"/>
      </w:pPr>
      <w:r>
        <w:rPr>
          <w:rFonts w:ascii="Calibri" w:cs="Calibri" w:eastAsia="Calibri" w:hAnsi="Calibri"/>
          <w:i w:val="false"/>
          <w:iCs w:val="false"/>
          <w:color w:val="1E293B"/>
          <w:sz w:val="22"/>
          <w:szCs w:val="22"/>
        </w:rPr>
        <w:t xml:space="preserve">Connection  ·  ServiceNow Reimplementation</w:t>
      </w:r>
    </w:p>
    <w:p>
      <w:pPr>
        <w:spacing w:after="60" w:before="0"/>
      </w:pPr>
      <w:r>
        <w:rPr>
          <w:rFonts w:ascii="Calibri" w:cs="Calibri" w:eastAsia="Calibri" w:hAnsi="Calibri"/>
          <w:i w:val="false"/>
          <w:iCs w:val="false"/>
          <w:color w:val="1E293B"/>
          <w:sz w:val="22"/>
          <w:szCs w:val="22"/>
        </w:rPr>
        <w:t xml:space="preserve">Prepared by ECS Federal  ·  ServiceNow Practice</w:t>
      </w:r>
    </w:p>
    <w:p>
      <w:pPr>
        <w:spacing w:after="60" w:before="0"/>
      </w:pPr>
      <w:r>
        <w:rPr>
          <w:rFonts w:ascii="Calibri" w:cs="Calibri" w:eastAsia="Calibri" w:hAnsi="Calibri"/>
          <w:i/>
          <w:iCs/>
          <w:color w:val="475569"/>
          <w:sz w:val="18"/>
          <w:szCs w:val="18"/>
        </w:rPr>
        <w:t xml:space="preserve">For shared use between ECS and Connection</w:t>
      </w:r>
    </w:p>
    <w:p>
      <w:pPr>
        <w:sectPr>
          <w:pgSz w:w="12240" w:h="15840" w:orient="portrait"/>
          <w:pgMar w:top="1440" w:right="1440" w:bottom="1440" w:left="1440" w:header="708" w:footer="708" w:gutter="0"/>
          <w:pgNumType/>
          <w:titlePg/>
          <w:docGrid w:linePitch="360"/>
        </w:sectPr>
      </w:pPr>
    </w:p>
    <w:p>
      <w:pPr>
        <w:pStyle w:val="Heading1"/>
        <w:spacing w:after="180" w:before="360"/>
      </w:pPr>
      <w:r>
        <w:rPr>
          <w:rFonts w:ascii="Calibri" w:cs="Calibri" w:eastAsia="Calibri" w:hAnsi="Calibri"/>
          <w:b/>
          <w:bCs/>
          <w:color w:val="0B1F3A"/>
          <w:sz w:val="32"/>
          <w:szCs w:val="32"/>
        </w:rPr>
        <w:t xml:space="preserve">Purpose</w:t>
      </w:r>
    </w:p>
    <w:p>
      <w:pPr>
        <w:spacing w:after="120"/>
      </w:pPr>
      <w:r>
        <w:rPr>
          <w:rFonts w:ascii="Calibri" w:cs="Calibri" w:eastAsia="Calibri" w:hAnsi="Calibri"/>
          <w:color w:val="1E293B"/>
          <w:sz w:val="22"/>
          <w:szCs w:val="22"/>
        </w:rPr>
        <w:t xml:space="preserve">This Charter describes how ECS and Connection will work together during the Phase 1 ServiceNow reimplementation. It is a partnership document, not a procedural one. It exists so both teams know how decisions get made, how deviations from out-of-the-box (OOTB) ServiceNow are evaluated, and how the engagement stays on schedule and on budget.</w:t>
      </w:r>
    </w:p>
    <w:p>
      <w:pPr>
        <w:spacing w:after="120"/>
      </w:pPr>
      <w:r>
        <w:rPr>
          <w:rFonts w:ascii="Calibri" w:cs="Calibri" w:eastAsia="Calibri" w:hAnsi="Calibri"/>
          <w:color w:val="1E293B"/>
          <w:sz w:val="22"/>
          <w:szCs w:val="22"/>
        </w:rPr>
        <w:t xml:space="preserve">The Charter is shared. Both ECS delivery leadership and Connection's Project Sponsor have reviewed and agreed to the operating model. When something needs a decision during the engagement, the framework in this document is the basis on which it is made.</w:t>
      </w:r>
    </w:p>
    <w:p>
      <w:pPr>
        <w:pStyle w:val="Heading1"/>
        <w:spacing w:after="180" w:before="360"/>
      </w:pPr>
      <w:r>
        <w:rPr>
          <w:rFonts w:ascii="Calibri" w:cs="Calibri" w:eastAsia="Calibri" w:hAnsi="Calibri"/>
          <w:b/>
          <w:bCs/>
          <w:color w:val="0B1F3A"/>
          <w:sz w:val="32"/>
          <w:szCs w:val="32"/>
        </w:rPr>
        <w:t xml:space="preserve">1.  Operating Principle</w:t>
      </w:r>
    </w:p>
    <w:p>
      <w:pPr>
        <w:spacing w:after="120"/>
      </w:pPr>
      <w:r>
        <w:rPr>
          <w:rFonts w:ascii="Calibri" w:cs="Calibri" w:eastAsia="Calibri" w:hAnsi="Calibri"/>
          <w:color w:val="1E293B"/>
          <w:sz w:val="22"/>
          <w:szCs w:val="22"/>
        </w:rPr>
        <w:t xml:space="preserve">Phase 1 is built on a single principle: lead with ServiceNow OOTB capability, and customize only when business outcomes genuinely require it. This approach delivers four outcomes Connection has chosen to prioritize.</w:t>
      </w:r>
    </w:p>
    <w:p>
      <w:pPr>
        <w:pStyle w:val="ListParagraph"/>
        <w:numPr>
          <w:ilvl w:val="0"/>
          <w:numId w:val="2"/>
        </w:numPr>
        <w:spacing w:after="60"/>
      </w:pPr>
      <w:r>
        <w:rPr>
          <w:rFonts w:ascii="Calibri" w:cs="Calibri" w:eastAsia="Calibri" w:hAnsi="Calibri"/>
          <w:b/>
          <w:bCs/>
          <w:color w:val="1E293B"/>
          <w:sz w:val="22"/>
          <w:szCs w:val="22"/>
        </w:rPr>
        <w:t xml:space="preserve">Protects your investment. </w:t>
      </w:r>
      <w:r>
        <w:rPr>
          <w:rFonts w:ascii="Calibri" w:cs="Calibri" w:eastAsia="Calibri" w:hAnsi="Calibri"/>
          <w:color w:val="1E293B"/>
          <w:sz w:val="22"/>
          <w:szCs w:val="22"/>
        </w:rPr>
        <w:t xml:space="preserve">Connection has licensed ServiceNow capabilities. The OOTB-first model ensures every licensed capability is configured to deliver value, not bypassed by custom code.</w:t>
      </w:r>
    </w:p>
    <w:p>
      <w:pPr>
        <w:pStyle w:val="ListParagraph"/>
        <w:numPr>
          <w:ilvl w:val="0"/>
          <w:numId w:val="2"/>
        </w:numPr>
        <w:spacing w:after="60"/>
      </w:pPr>
      <w:r>
        <w:rPr>
          <w:rFonts w:ascii="Calibri" w:cs="Calibri" w:eastAsia="Calibri" w:hAnsi="Calibri"/>
          <w:b/>
          <w:bCs/>
          <w:color w:val="1E293B"/>
          <w:sz w:val="22"/>
          <w:szCs w:val="22"/>
        </w:rPr>
        <w:t xml:space="preserve">Enables AI capabilities. </w:t>
      </w:r>
      <w:r>
        <w:rPr>
          <w:rFonts w:ascii="Calibri" w:cs="Calibri" w:eastAsia="Calibri" w:hAnsi="Calibri"/>
          <w:color w:val="1E293B"/>
          <w:sz w:val="22"/>
          <w:szCs w:val="22"/>
        </w:rPr>
        <w:t xml:space="preserve">Now Assist, Predictive Intelligence, and the Workflow Data Fabric require a clean, CSDM-aligned data model and OOTB workflows. Customizations made today are AI obstacles tomorrow.</w:t>
      </w:r>
    </w:p>
    <w:p>
      <w:pPr>
        <w:pStyle w:val="ListParagraph"/>
        <w:numPr>
          <w:ilvl w:val="0"/>
          <w:numId w:val="2"/>
        </w:numPr>
        <w:spacing w:after="60"/>
      </w:pPr>
      <w:r>
        <w:rPr>
          <w:rFonts w:ascii="Calibri" w:cs="Calibri" w:eastAsia="Calibri" w:hAnsi="Calibri"/>
          <w:b/>
          <w:bCs/>
          <w:color w:val="1E293B"/>
          <w:sz w:val="22"/>
          <w:szCs w:val="22"/>
        </w:rPr>
        <w:t xml:space="preserve">Reduces total cost of ownership. </w:t>
      </w:r>
      <w:r>
        <w:rPr>
          <w:rFonts w:ascii="Calibri" w:cs="Calibri" w:eastAsia="Calibri" w:hAnsi="Calibri"/>
          <w:color w:val="1E293B"/>
          <w:sz w:val="22"/>
          <w:szCs w:val="22"/>
        </w:rPr>
        <w:t xml:space="preserve">Customizations carry maintenance burden, upgrade risk, and replacement cost. Each one chosen carefully today is one Connection doesn't have to maintain for years.</w:t>
      </w:r>
    </w:p>
    <w:p>
      <w:pPr>
        <w:pStyle w:val="ListParagraph"/>
        <w:numPr>
          <w:ilvl w:val="0"/>
          <w:numId w:val="2"/>
        </w:numPr>
        <w:spacing w:after="60"/>
      </w:pPr>
      <w:r>
        <w:rPr>
          <w:rFonts w:ascii="Calibri" w:cs="Calibri" w:eastAsia="Calibri" w:hAnsi="Calibri"/>
          <w:b/>
          <w:bCs/>
          <w:color w:val="1E293B"/>
          <w:sz w:val="22"/>
          <w:szCs w:val="22"/>
        </w:rPr>
        <w:t xml:space="preserve">Keeps the platform upgrade-safe. </w:t>
      </w:r>
      <w:r>
        <w:rPr>
          <w:rFonts w:ascii="Calibri" w:cs="Calibri" w:eastAsia="Calibri" w:hAnsi="Calibri"/>
          <w:color w:val="1E293B"/>
          <w:sz w:val="22"/>
          <w:szCs w:val="22"/>
        </w:rPr>
        <w:t xml:space="preserve">Configuration adheres to the Rule of Three (Configuration, UI Policy, Flow Designer). Approved customizations are designed to survive ServiceNow family upgrades — not block them.</w:t>
      </w:r>
    </w:p>
    <w:p>
      <w:pPr>
        <w:spacing w:after="120"/>
      </w:pPr>
      <w:r>
        <w:rPr>
          <w:rFonts w:ascii="Calibri" w:cs="Calibri" w:eastAsia="Calibri" w:hAnsi="Calibri"/>
          <w:color w:val="1E293B"/>
          <w:sz w:val="22"/>
          <w:szCs w:val="22"/>
        </w:rPr>
        <w:t xml:space="preserve">This principle is not absolute. Real business needs that OOTB cannot meet are addressed through the deviation lifecycle described below. The principle is the starting point of every conversation, not the end of it.</w:t>
      </w:r>
    </w:p>
    <w:p>
      <w:pPr>
        <w:pStyle w:val="Heading1"/>
        <w:spacing w:after="180" w:before="360"/>
      </w:pPr>
      <w:r>
        <w:rPr>
          <w:rFonts w:ascii="Calibri" w:cs="Calibri" w:eastAsia="Calibri" w:hAnsi="Calibri"/>
          <w:b/>
          <w:bCs/>
          <w:color w:val="0B1F3A"/>
          <w:sz w:val="32"/>
          <w:szCs w:val="32"/>
        </w:rPr>
        <w:t xml:space="preserve">2.  Partnership Commitment</w:t>
      </w:r>
    </w:p>
    <w:p>
      <w:pPr>
        <w:spacing w:after="120"/>
      </w:pPr>
      <w:r>
        <w:rPr>
          <w:rFonts w:ascii="Calibri" w:cs="Calibri" w:eastAsia="Calibri" w:hAnsi="Calibri"/>
          <w:color w:val="1E293B"/>
          <w:sz w:val="22"/>
          <w:szCs w:val="22"/>
        </w:rPr>
        <w:t xml:space="preserve">Both teams commit to the following operating model.</w:t>
      </w:r>
    </w:p>
    <w:p>
      <w:pPr>
        <w:pStyle w:val="Heading3"/>
        <w:spacing w:after="100" w:before="200"/>
      </w:pPr>
      <w:r>
        <w:rPr>
          <w:rFonts w:ascii="Calibri" w:cs="Calibri" w:eastAsia="Calibri" w:hAnsi="Calibri"/>
          <w:b/>
          <w:bCs/>
          <w:color w:val="0D9488"/>
          <w:sz w:val="22"/>
          <w:szCs w:val="22"/>
        </w:rPr>
        <w:t xml:space="preserve">ECS commits to:</w:t>
      </w:r>
    </w:p>
    <w:p>
      <w:pPr>
        <w:pStyle w:val="ListParagraph"/>
        <w:numPr>
          <w:ilvl w:val="0"/>
          <w:numId w:val="2"/>
        </w:numPr>
        <w:spacing w:after="60"/>
      </w:pPr>
      <w:r>
        <w:rPr>
          <w:rFonts w:ascii="Calibri" w:cs="Calibri" w:eastAsia="Calibri" w:hAnsi="Calibri"/>
          <w:color w:val="1E293B"/>
          <w:sz w:val="22"/>
          <w:szCs w:val="22"/>
        </w:rPr>
        <w:t xml:space="preserve">Demonstrating OOTB capability before any deviation conversation.</w:t>
      </w:r>
    </w:p>
    <w:p>
      <w:pPr>
        <w:pStyle w:val="ListParagraph"/>
        <w:numPr>
          <w:ilvl w:val="0"/>
          <w:numId w:val="2"/>
        </w:numPr>
        <w:spacing w:after="60"/>
      </w:pPr>
      <w:r>
        <w:rPr>
          <w:rFonts w:ascii="Calibri" w:cs="Calibri" w:eastAsia="Calibri" w:hAnsi="Calibri"/>
          <w:color w:val="1E293B"/>
          <w:sz w:val="22"/>
          <w:szCs w:val="22"/>
        </w:rPr>
        <w:t xml:space="preserve">Bringing OOTB alternatives to every workshop, with Connection's data and scenarios.</w:t>
      </w:r>
    </w:p>
    <w:p>
      <w:pPr>
        <w:pStyle w:val="ListParagraph"/>
        <w:numPr>
          <w:ilvl w:val="0"/>
          <w:numId w:val="2"/>
        </w:numPr>
        <w:spacing w:after="60"/>
      </w:pPr>
      <w:r>
        <w:rPr>
          <w:rFonts w:ascii="Calibri" w:cs="Calibri" w:eastAsia="Calibri" w:hAnsi="Calibri"/>
          <w:color w:val="1E293B"/>
          <w:sz w:val="22"/>
          <w:szCs w:val="22"/>
        </w:rPr>
        <w:t xml:space="preserve">Documenting every deviation request transparently in the Governance Triage Log.</w:t>
      </w:r>
    </w:p>
    <w:p>
      <w:pPr>
        <w:pStyle w:val="ListParagraph"/>
        <w:numPr>
          <w:ilvl w:val="0"/>
          <w:numId w:val="2"/>
        </w:numPr>
        <w:spacing w:after="60"/>
      </w:pPr>
      <w:r>
        <w:rPr>
          <w:rFonts w:ascii="Calibri" w:cs="Calibri" w:eastAsia="Calibri" w:hAnsi="Calibri"/>
          <w:color w:val="1E293B"/>
          <w:sz w:val="22"/>
          <w:szCs w:val="22"/>
        </w:rPr>
        <w:t xml:space="preserve">Making evidence-based recommendations with explicit business-outcome alignment.</w:t>
      </w:r>
    </w:p>
    <w:p>
      <w:pPr>
        <w:pStyle w:val="ListParagraph"/>
        <w:numPr>
          <w:ilvl w:val="0"/>
          <w:numId w:val="2"/>
        </w:numPr>
        <w:spacing w:after="60"/>
      </w:pPr>
      <w:r>
        <w:rPr>
          <w:rFonts w:ascii="Calibri" w:cs="Calibri" w:eastAsia="Calibri" w:hAnsi="Calibri"/>
          <w:color w:val="1E293B"/>
          <w:sz w:val="22"/>
          <w:szCs w:val="22"/>
        </w:rPr>
        <w:t xml:space="preserve">Raising contract and timeline risks early — before they become problems.</w:t>
      </w:r>
    </w:p>
    <w:p>
      <w:pPr>
        <w:pStyle w:val="ListParagraph"/>
        <w:numPr>
          <w:ilvl w:val="0"/>
          <w:numId w:val="2"/>
        </w:numPr>
        <w:spacing w:after="60"/>
      </w:pPr>
      <w:r>
        <w:rPr>
          <w:rFonts w:ascii="Calibri" w:cs="Calibri" w:eastAsia="Calibri" w:hAnsi="Calibri"/>
          <w:color w:val="1E293B"/>
          <w:sz w:val="22"/>
          <w:szCs w:val="22"/>
        </w:rPr>
        <w:t xml:space="preserve">Backing Connection's process owners with technical guidance, not gate-keeping.</w:t>
      </w:r>
    </w:p>
    <w:p>
      <w:pPr>
        <w:pStyle w:val="Heading3"/>
        <w:spacing w:after="100" w:before="200"/>
      </w:pPr>
      <w:r>
        <w:rPr>
          <w:rFonts w:ascii="Calibri" w:cs="Calibri" w:eastAsia="Calibri" w:hAnsi="Calibri"/>
          <w:b/>
          <w:bCs/>
          <w:color w:val="0D9488"/>
          <w:sz w:val="22"/>
          <w:szCs w:val="22"/>
        </w:rPr>
        <w:t xml:space="preserve">Connection commits to:</w:t>
      </w:r>
    </w:p>
    <w:p>
      <w:pPr>
        <w:pStyle w:val="ListParagraph"/>
        <w:numPr>
          <w:ilvl w:val="0"/>
          <w:numId w:val="2"/>
        </w:numPr>
        <w:spacing w:after="60"/>
      </w:pPr>
      <w:r>
        <w:rPr>
          <w:rFonts w:ascii="Calibri" w:cs="Calibri" w:eastAsia="Calibri" w:hAnsi="Calibri"/>
          <w:color w:val="1E293B"/>
          <w:sz w:val="22"/>
          <w:szCs w:val="22"/>
        </w:rPr>
        <w:t xml:space="preserve">Naming empowered process owners with decision authority for each in-scope process.</w:t>
      </w:r>
    </w:p>
    <w:p>
      <w:pPr>
        <w:pStyle w:val="ListParagraph"/>
        <w:numPr>
          <w:ilvl w:val="0"/>
          <w:numId w:val="2"/>
        </w:numPr>
        <w:spacing w:after="60"/>
      </w:pPr>
      <w:r>
        <w:rPr>
          <w:rFonts w:ascii="Calibri" w:cs="Calibri" w:eastAsia="Calibri" w:hAnsi="Calibri"/>
          <w:color w:val="1E293B"/>
          <w:sz w:val="22"/>
          <w:szCs w:val="22"/>
        </w:rPr>
        <w:t xml:space="preserve">Making timely SMEs available for workshops, sprint reviews, and integration work.</w:t>
      </w:r>
    </w:p>
    <w:p>
      <w:pPr>
        <w:pStyle w:val="ListParagraph"/>
        <w:numPr>
          <w:ilvl w:val="0"/>
          <w:numId w:val="2"/>
        </w:numPr>
        <w:spacing w:after="60"/>
      </w:pPr>
      <w:r>
        <w:rPr>
          <w:rFonts w:ascii="Calibri" w:cs="Calibri" w:eastAsia="Calibri" w:hAnsi="Calibri"/>
          <w:color w:val="1E293B"/>
          <w:sz w:val="22"/>
          <w:szCs w:val="22"/>
        </w:rPr>
        <w:t xml:space="preserve">Engaging in OOTB demonstrations with an open lens — judging fitness against business outcomes, not against legacy implementations.</w:t>
      </w:r>
    </w:p>
    <w:p>
      <w:pPr>
        <w:pStyle w:val="ListParagraph"/>
        <w:numPr>
          <w:ilvl w:val="0"/>
          <w:numId w:val="2"/>
        </w:numPr>
        <w:spacing w:after="60"/>
      </w:pPr>
      <w:r>
        <w:rPr>
          <w:rFonts w:ascii="Calibri" w:cs="Calibri" w:eastAsia="Calibri" w:hAnsi="Calibri"/>
          <w:color w:val="1E293B"/>
          <w:sz w:val="22"/>
          <w:szCs w:val="22"/>
        </w:rPr>
        <w:t xml:space="preserve">Signing off on workshop outputs same-day, so they feed directly into the active sprint.</w:t>
      </w:r>
    </w:p>
    <w:p>
      <w:pPr>
        <w:pStyle w:val="ListParagraph"/>
        <w:numPr>
          <w:ilvl w:val="0"/>
          <w:numId w:val="2"/>
        </w:numPr>
        <w:spacing w:after="60"/>
      </w:pPr>
      <w:r>
        <w:rPr>
          <w:rFonts w:ascii="Calibri" w:cs="Calibri" w:eastAsia="Calibri" w:hAnsi="Calibri"/>
          <w:color w:val="1E293B"/>
          <w:sz w:val="22"/>
          <w:szCs w:val="22"/>
        </w:rPr>
        <w:t xml:space="preserve">Surfacing concerns and changes through the governance framework rather than back-channel requests.</w:t>
      </w:r>
    </w:p>
    <w:p>
      <w:pPr>
        <w:pStyle w:val="ListParagraph"/>
        <w:numPr>
          <w:ilvl w:val="0"/>
          <w:numId w:val="2"/>
        </w:numPr>
        <w:spacing w:after="60"/>
      </w:pPr>
      <w:r>
        <w:rPr>
          <w:rFonts w:ascii="Calibri" w:cs="Calibri" w:eastAsia="Calibri" w:hAnsi="Calibri"/>
          <w:color w:val="1E293B"/>
          <w:sz w:val="22"/>
          <w:szCs w:val="22"/>
        </w:rPr>
        <w:t xml:space="preserve">Holding the OOTB-first principle through Phase 1, knowing Phase 2 and Phase 3 are designed to add capability the principle protects.</w:t>
      </w:r>
    </w:p>
    <w:p>
      <w:r>
        <w:br w:type="page"/>
      </w:r>
    </w:p>
    <w:p>
      <w:pPr>
        <w:pStyle w:val="Heading1"/>
        <w:spacing w:after="180" w:before="360"/>
      </w:pPr>
      <w:r>
        <w:rPr>
          <w:rFonts w:ascii="Calibri" w:cs="Calibri" w:eastAsia="Calibri" w:hAnsi="Calibri"/>
          <w:b/>
          <w:bCs/>
          <w:color w:val="0B1F3A"/>
          <w:sz w:val="32"/>
          <w:szCs w:val="32"/>
        </w:rPr>
        <w:t xml:space="preserve">3.  The Deviation Lifecycle</w:t>
      </w:r>
    </w:p>
    <w:p>
      <w:pPr>
        <w:spacing w:after="120"/>
      </w:pPr>
      <w:r>
        <w:rPr>
          <w:rFonts w:ascii="Calibri" w:cs="Calibri" w:eastAsia="Calibri" w:hAnsi="Calibri"/>
          <w:color w:val="1E293B"/>
          <w:sz w:val="22"/>
          <w:szCs w:val="22"/>
        </w:rPr>
        <w:t xml:space="preserve">Every potential deviation from OOTB follows the same six-stage lifecycle. This is the process the team uses, and it is the process Connection will see throughout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198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Stage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Happens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Owner</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Output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1. Surface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 deviation idea is raised in a workshop, sprint planning, or ad-hoc conversation.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Anyone (ECS or Connection)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Logged in the Governance Triage Log within 24 hours.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2. Triage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Solution Architect applies the Rule of Three to determine whether the need can be met by Configuration, UI Policy, or Flow Designer.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Solution Architect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Classified as 'Configurable' or 'True Deviation'.</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3. Document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If a true deviation, the Solution Architect drafts a one-page impact assessment covering the OOTB alternative, business-outcome alignment, and contract impact.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Solution Architect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Impact assessment shared with Connection prior to the Council review.</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4. Recommend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recommends a path: build now, defer to backlog, or raise a Project Change Request (PCR).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Solution Architect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Recommendation logged.</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5. Decide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Two-key approval: Connection Sponsor approves the business need; ECS Practice authority approves the technical path. Both keys required.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Connection Sponsor + ECS Practice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Approved, Rejected, or Deferred.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6. Route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Approved deviations enter the active sprint (or trigger a PCR if cumulative customization count is exceeded). Deferred items enter the backlog. Rejected items are documented with rationale.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Engagement Manager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Sprint story, backlog item, or PCR document.</w:t>
            </w:r>
          </w:p>
        </w:tc>
      </w:tr>
    </w:tbl>
    <w:p>
      <w:r>
        <w:t xml:space="preserve"> </w:t>
      </w:r>
    </w:p>
    <w:p>
      <w:pPr>
        <w:spacing w:after="120"/>
      </w:pPr>
      <w:r>
        <w:rPr>
          <w:rFonts w:ascii="Calibri" w:cs="Calibri" w:eastAsia="Calibri" w:hAnsi="Calibri"/>
          <w:color w:val="1E293B"/>
          <w:sz w:val="22"/>
          <w:szCs w:val="22"/>
        </w:rPr>
        <w:t xml:space="preserve">The lifecycle is visible to both teams. Connection's Project Sponsor and Connection-side stakeholders can see every entry in the Governance Triage Log at any time. Transparency is intentional — it removes the perception that decisions are made behind closed doors and invites Connection into the technical reasoning.</w:t>
      </w:r>
    </w:p>
    <w:p>
      <w:pPr>
        <w:pStyle w:val="Heading1"/>
        <w:spacing w:after="180" w:before="360"/>
      </w:pPr>
      <w:r>
        <w:rPr>
          <w:rFonts w:ascii="Calibri" w:cs="Calibri" w:eastAsia="Calibri" w:hAnsi="Calibri"/>
          <w:b/>
          <w:bCs/>
          <w:color w:val="0B1F3A"/>
          <w:sz w:val="32"/>
          <w:szCs w:val="32"/>
        </w:rPr>
        <w:t xml:space="preserve">4.  The Decision Framework</w:t>
      </w:r>
    </w:p>
    <w:p>
      <w:pPr>
        <w:spacing w:after="120"/>
      </w:pPr>
      <w:r>
        <w:rPr>
          <w:rFonts w:ascii="Calibri" w:cs="Calibri" w:eastAsia="Calibri" w:hAnsi="Calibri"/>
          <w:color w:val="1E293B"/>
          <w:sz w:val="22"/>
          <w:szCs w:val="22"/>
        </w:rPr>
        <w:t xml:space="preserve">When a 'we want X instead of OOTB' conversation comes up, both teams walk this framework together. The framework is designed so that 'no' is rarely the answer — most paths route to 'yes, configured this way' or 'yes, deferred to backlog.'</w:t>
      </w:r>
    </w:p>
    <w:p>
      <w:pPr>
        <w:pStyle w:val="Heading3"/>
        <w:spacing w:after="100" w:before="200"/>
      </w:pPr>
      <w:r>
        <w:rPr>
          <w:rFonts w:ascii="Calibri" w:cs="Calibri" w:eastAsia="Calibri" w:hAnsi="Calibri"/>
          <w:b/>
          <w:bCs/>
          <w:color w:val="0D9488"/>
          <w:sz w:val="22"/>
          <w:szCs w:val="22"/>
        </w:rPr>
        <w:t xml:space="preserve">The Decision Tree</w:t>
      </w:r>
    </w:p>
    <w:p>
      <w:pPr>
        <w:spacing w:after="120"/>
      </w:pPr>
      <w:r>
        <w:rPr>
          <w:rFonts w:ascii="Calibri" w:cs="Calibri" w:eastAsia="Calibri" w:hAnsi="Calibri"/>
          <w:color w:val="1E293B"/>
          <w:sz w:val="22"/>
          <w:szCs w:val="22"/>
        </w:rPr>
        <w:t xml:space="preserve">1.  Does the OOTB pattern deliver the business outcome?</w:t>
      </w:r>
    </w:p>
    <w:p>
      <w:pPr>
        <w:spacing w:after="120"/>
      </w:pPr>
      <w:r>
        <w:rPr>
          <w:rFonts w:ascii="Calibri" w:cs="Calibri" w:eastAsia="Calibri" w:hAnsi="Calibri"/>
          <w:color w:val="1E293B"/>
          <w:sz w:val="22"/>
          <w:szCs w:val="22"/>
        </w:rPr>
        <w:t xml:space="preserve">        • YES → No deviation needed. Build OOTB.</w:t>
      </w:r>
    </w:p>
    <w:p>
      <w:pPr>
        <w:spacing w:after="120"/>
      </w:pPr>
      <w:r>
        <w:rPr>
          <w:rFonts w:ascii="Calibri" w:cs="Calibri" w:eastAsia="Calibri" w:hAnsi="Calibri"/>
          <w:color w:val="1E293B"/>
          <w:sz w:val="22"/>
          <w:szCs w:val="22"/>
        </w:rPr>
        <w:t xml:space="preserve">        • NO → continue to question 2.</w:t>
      </w:r>
    </w:p>
    <w:p>
      <w:pPr>
        <w:spacing w:after="120"/>
      </w:pPr>
      <w:r>
        <w:rPr>
          <w:rFonts w:ascii="Calibri" w:cs="Calibri" w:eastAsia="Calibri" w:hAnsi="Calibri"/>
          <w:color w:val="1E293B"/>
          <w:sz w:val="22"/>
          <w:szCs w:val="22"/>
        </w:rPr>
        <w:t xml:space="preserve">2.  Can Configuration, UI Policy, or Flow Designer meet the need?</w:t>
      </w:r>
    </w:p>
    <w:p>
      <w:pPr>
        <w:spacing w:after="120"/>
      </w:pPr>
      <w:r>
        <w:rPr>
          <w:rFonts w:ascii="Calibri" w:cs="Calibri" w:eastAsia="Calibri" w:hAnsi="Calibri"/>
          <w:color w:val="1E293B"/>
          <w:sz w:val="22"/>
          <w:szCs w:val="22"/>
        </w:rPr>
        <w:t xml:space="preserve">        • YES → No deviation needed. Configure it.</w:t>
      </w:r>
    </w:p>
    <w:p>
      <w:pPr>
        <w:spacing w:after="120"/>
      </w:pPr>
      <w:r>
        <w:rPr>
          <w:rFonts w:ascii="Calibri" w:cs="Calibri" w:eastAsia="Calibri" w:hAnsi="Calibri"/>
          <w:color w:val="1E293B"/>
          <w:sz w:val="22"/>
          <w:szCs w:val="22"/>
        </w:rPr>
        <w:t xml:space="preserve">        • NO → continue to question 3.</w:t>
      </w:r>
    </w:p>
    <w:p>
      <w:pPr>
        <w:spacing w:after="120"/>
      </w:pPr>
      <w:r>
        <w:rPr>
          <w:rFonts w:ascii="Calibri" w:cs="Calibri" w:eastAsia="Calibri" w:hAnsi="Calibri"/>
          <w:color w:val="1E293B"/>
          <w:sz w:val="22"/>
          <w:szCs w:val="22"/>
        </w:rPr>
        <w:t xml:space="preserve">3.  Is this a real business need, or a preference?</w:t>
      </w:r>
    </w:p>
    <w:p>
      <w:pPr>
        <w:spacing w:after="120"/>
      </w:pPr>
      <w:r>
        <w:rPr>
          <w:rFonts w:ascii="Calibri" w:cs="Calibri" w:eastAsia="Calibri" w:hAnsi="Calibri"/>
          <w:color w:val="1E293B"/>
          <w:sz w:val="22"/>
          <w:szCs w:val="22"/>
        </w:rPr>
        <w:t xml:space="preserve">        • PREFERENCE → Defer to backlog with rationale.</w:t>
      </w:r>
    </w:p>
    <w:p>
      <w:pPr>
        <w:spacing w:after="120"/>
      </w:pPr>
      <w:r>
        <w:rPr>
          <w:rFonts w:ascii="Calibri" w:cs="Calibri" w:eastAsia="Calibri" w:hAnsi="Calibri"/>
          <w:color w:val="1E293B"/>
          <w:sz w:val="22"/>
          <w:szCs w:val="22"/>
        </w:rPr>
        <w:t xml:space="preserve">        • REAL NEED → continue to question 4.</w:t>
      </w:r>
    </w:p>
    <w:p>
      <w:pPr>
        <w:spacing w:after="120"/>
      </w:pPr>
      <w:r>
        <w:rPr>
          <w:rFonts w:ascii="Calibri" w:cs="Calibri" w:eastAsia="Calibri" w:hAnsi="Calibri"/>
          <w:color w:val="1E293B"/>
          <w:sz w:val="22"/>
          <w:szCs w:val="22"/>
        </w:rPr>
        <w:t xml:space="preserve">4.  Does the impact justify the cost (build, maintenance, upgrade implications)?</w:t>
      </w:r>
    </w:p>
    <w:p>
      <w:pPr>
        <w:spacing w:after="120"/>
      </w:pPr>
      <w:r>
        <w:rPr>
          <w:rFonts w:ascii="Calibri" w:cs="Calibri" w:eastAsia="Calibri" w:hAnsi="Calibri"/>
          <w:color w:val="1E293B"/>
          <w:sz w:val="22"/>
          <w:szCs w:val="22"/>
        </w:rPr>
        <w:t xml:space="preserve">        • NO → Defer to backlog.</w:t>
      </w:r>
    </w:p>
    <w:p>
      <w:pPr>
        <w:spacing w:after="120"/>
      </w:pPr>
      <w:r>
        <w:rPr>
          <w:rFonts w:ascii="Calibri" w:cs="Calibri" w:eastAsia="Calibri" w:hAnsi="Calibri"/>
          <w:color w:val="1E293B"/>
          <w:sz w:val="22"/>
          <w:szCs w:val="22"/>
        </w:rPr>
        <w:t xml:space="preserve">        • YES → Two-key decision.</w:t>
      </w:r>
    </w:p>
    <w:p>
      <w:pPr>
        <w:spacing w:after="120"/>
      </w:pPr>
      <w:r>
        <w:rPr>
          <w:rFonts w:ascii="Calibri" w:cs="Calibri" w:eastAsia="Calibri" w:hAnsi="Calibri"/>
          <w:color w:val="1E293B"/>
          <w:sz w:val="22"/>
          <w:szCs w:val="22"/>
        </w:rPr>
        <w:t xml:space="preserve">5.  Two-key decision result:</w:t>
      </w:r>
    </w:p>
    <w:p>
      <w:pPr>
        <w:spacing w:after="120"/>
      </w:pPr>
      <w:r>
        <w:rPr>
          <w:rFonts w:ascii="Calibri" w:cs="Calibri" w:eastAsia="Calibri" w:hAnsi="Calibri"/>
          <w:color w:val="1E293B"/>
          <w:sz w:val="22"/>
          <w:szCs w:val="22"/>
        </w:rPr>
        <w:t xml:space="preserve">        • APPROVED → Build (or PCR if cumulative customization count exceeds the threshold).</w:t>
      </w:r>
    </w:p>
    <w:p>
      <w:pPr>
        <w:spacing w:after="120"/>
      </w:pPr>
      <w:r>
        <w:rPr>
          <w:rFonts w:ascii="Calibri" w:cs="Calibri" w:eastAsia="Calibri" w:hAnsi="Calibri"/>
          <w:color w:val="1E293B"/>
          <w:sz w:val="22"/>
          <w:szCs w:val="22"/>
        </w:rPr>
        <w:t xml:space="preserve">        • REJECTED → Defer to backlog or raise as PCR.</w:t>
      </w:r>
    </w:p>
    <w:p>
      <w:r>
        <w:br w:type="page"/>
      </w:r>
    </w:p>
    <w:p>
      <w:pPr>
        <w:pStyle w:val="Heading1"/>
        <w:spacing w:after="180" w:before="360"/>
      </w:pPr>
      <w:r>
        <w:rPr>
          <w:rFonts w:ascii="Calibri" w:cs="Calibri" w:eastAsia="Calibri" w:hAnsi="Calibri"/>
          <w:b/>
          <w:bCs/>
          <w:color w:val="0B1F3A"/>
          <w:sz w:val="32"/>
          <w:szCs w:val="32"/>
        </w:rPr>
        <w:t xml:space="preserve">5.  The Two-Key Decision Model</w:t>
      </w:r>
    </w:p>
    <w:p>
      <w:pPr>
        <w:spacing w:after="120"/>
      </w:pPr>
      <w:r>
        <w:rPr>
          <w:rFonts w:ascii="Calibri" w:cs="Calibri" w:eastAsia="Calibri" w:hAnsi="Calibri"/>
          <w:color w:val="1E293B"/>
          <w:sz w:val="22"/>
          <w:szCs w:val="22"/>
        </w:rPr>
        <w:t xml:space="preserve">Approved customizations require two independent approvals, neither of whom is in the daily delivery relationship. This protects Connection's investment and the engagement's integrity.</w:t>
      </w:r>
    </w:p>
    <w:p>
      <w:pPr>
        <w:pStyle w:val="Heading3"/>
        <w:spacing w:after="100" w:before="200"/>
      </w:pPr>
      <w:r>
        <w:rPr>
          <w:rFonts w:ascii="Calibri" w:cs="Calibri" w:eastAsia="Calibri" w:hAnsi="Calibri"/>
          <w:b/>
          <w:bCs/>
          <w:color w:val="0D9488"/>
          <w:sz w:val="22"/>
          <w:szCs w:val="22"/>
        </w:rPr>
        <w:t xml:space="preserve">First Key — Business Need (Connection Sponsor)</w:t>
      </w:r>
    </w:p>
    <w:p>
      <w:pPr>
        <w:spacing w:after="120"/>
      </w:pPr>
      <w:r>
        <w:rPr>
          <w:rFonts w:ascii="Calibri" w:cs="Calibri" w:eastAsia="Calibri" w:hAnsi="Calibri"/>
          <w:color w:val="1E293B"/>
          <w:sz w:val="22"/>
          <w:szCs w:val="22"/>
        </w:rPr>
        <w:t xml:space="preserve">The Connection Project Sponsor confirms the deviation addresses a genuine business need. The Sponsor evaluates: does this serve a documented business outcome? Is it material? Is it worth the maintenance burden it introduces?</w:t>
      </w:r>
    </w:p>
    <w:p>
      <w:pPr>
        <w:pStyle w:val="Heading3"/>
        <w:spacing w:after="100" w:before="200"/>
      </w:pPr>
      <w:r>
        <w:rPr>
          <w:rFonts w:ascii="Calibri" w:cs="Calibri" w:eastAsia="Calibri" w:hAnsi="Calibri"/>
          <w:b/>
          <w:bCs/>
          <w:color w:val="0D9488"/>
          <w:sz w:val="22"/>
          <w:szCs w:val="22"/>
        </w:rPr>
        <w:t xml:space="preserve">Second Key — Technical Path (ECS Practice Lead)</w:t>
      </w:r>
    </w:p>
    <w:p>
      <w:pPr>
        <w:spacing w:after="120"/>
      </w:pPr>
      <w:r>
        <w:rPr>
          <w:rFonts w:ascii="Calibri" w:cs="Calibri" w:eastAsia="Calibri" w:hAnsi="Calibri"/>
          <w:color w:val="1E293B"/>
          <w:sz w:val="22"/>
          <w:szCs w:val="22"/>
        </w:rPr>
        <w:t xml:space="preserve">An ECS Practice authority outside the engagement (Practice Lead or designated Engagement Manager) confirms OOTB genuinely cannot meet the need and that the proposed approach is the right technical path. The Practice authority evaluates: have all OOTB alternatives been considered? Is the proposed approach upgrade-safe? Does it create downstream impact?</w:t>
      </w:r>
    </w:p>
    <w:p>
      <w:pPr>
        <w:pStyle w:val="Heading3"/>
        <w:spacing w:after="100" w:before="200"/>
      </w:pPr>
      <w:r>
        <w:rPr>
          <w:rFonts w:ascii="Calibri" w:cs="Calibri" w:eastAsia="Calibri" w:hAnsi="Calibri"/>
          <w:b/>
          <w:bCs/>
          <w:color w:val="0D9488"/>
          <w:sz w:val="22"/>
          <w:szCs w:val="22"/>
        </w:rPr>
        <w:t xml:space="preserve">Why two keys</w:t>
      </w:r>
    </w:p>
    <w:p>
      <w:pPr>
        <w:spacing w:after="120"/>
      </w:pPr>
      <w:r>
        <w:rPr>
          <w:rFonts w:ascii="Calibri" w:cs="Calibri" w:eastAsia="Calibri" w:hAnsi="Calibri"/>
          <w:color w:val="1E293B"/>
          <w:sz w:val="22"/>
          <w:szCs w:val="22"/>
        </w:rPr>
        <w:t xml:space="preserve">Single-key approval models tend toward over-approval — the approver is in the relationship and feels each individual request is reasonable. The two-key model forces both perspectives to align: a deviation must be both a real business need (Sponsor) and a real technical necessity (ECS Practice). This is the structural protection that keeps OOTB-first viable across the engagement.</w:t>
      </w:r>
    </w:p>
    <w:p>
      <w:pPr>
        <w:spacing w:after="120"/>
      </w:pPr>
      <w:r>
        <w:rPr>
          <w:rFonts w:ascii="Calibri" w:cs="Calibri" w:eastAsia="Calibri" w:hAnsi="Calibri"/>
          <w:color w:val="1E293B"/>
          <w:sz w:val="22"/>
          <w:szCs w:val="22"/>
        </w:rPr>
        <w:t xml:space="preserve">In practice, this means a Customization Request takes 48 hours from submission to decision. The Solution Architect writes the impact assessment; the Sponsor and the ECS Practice Lead each respond within 24 hours. The two-key model has not historically slowed engagements — it has reduced the number of customizations that get built and later regretted.</w:t>
      </w:r>
    </w:p>
    <w:p>
      <w:pPr>
        <w:pStyle w:val="Heading1"/>
        <w:spacing w:after="180" w:before="360"/>
      </w:pPr>
      <w:r>
        <w:rPr>
          <w:rFonts w:ascii="Calibri" w:cs="Calibri" w:eastAsia="Calibri" w:hAnsi="Calibri"/>
          <w:b/>
          <w:bCs/>
          <w:color w:val="0B1F3A"/>
          <w:sz w:val="32"/>
          <w:szCs w:val="32"/>
        </w:rPr>
        <w:t xml:space="preserve">6.  Governance Triage Log — Transparency Commitment</w:t>
      </w:r>
    </w:p>
    <w:p>
      <w:pPr>
        <w:spacing w:after="120"/>
      </w:pPr>
      <w:r>
        <w:rPr>
          <w:rFonts w:ascii="Calibri" w:cs="Calibri" w:eastAsia="Calibri" w:hAnsi="Calibri"/>
          <w:color w:val="1E293B"/>
          <w:sz w:val="22"/>
          <w:szCs w:val="22"/>
        </w:rPr>
        <w:t xml:space="preserve">The Governance Triage Log is the single source of truth for OOTB compliance. Every deviation request — approved, rejected, or deferred — is logged within 24 hours. Connection's Sponsor and named stakeholders have read access to the log throughout the engagement.</w:t>
      </w:r>
    </w:p>
    <w:p>
      <w:pPr>
        <w:pStyle w:val="Heading3"/>
        <w:spacing w:after="100" w:before="200"/>
      </w:pPr>
      <w:r>
        <w:rPr>
          <w:rFonts w:ascii="Calibri" w:cs="Calibri" w:eastAsia="Calibri" w:hAnsi="Calibri"/>
          <w:b/>
          <w:bCs/>
          <w:color w:val="0D9488"/>
          <w:sz w:val="22"/>
          <w:szCs w:val="22"/>
        </w:rPr>
        <w:t xml:space="preserve">Each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Field</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Description</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Date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When the request was raised.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Requester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Name and role of the person raising the request.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Workstream</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Which in-scope area (ITSM, CSDM, Catalog, Integration, etc.).</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Business Need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What outcome the request is intended to achieve.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OOTB Alternative Considered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What ServiceNow OOTB capability was evaluated, and why it does or does not meet the need.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Recommendation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recommendation: build, defer to backlog, or PCR.</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Two-key outcome: Approved / Rejected / Deferred.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Rationale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Why the decision was made (one or two sentences).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Downstream Impact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Scope, budget, or upgrade implications. PCR triggered (Y/N).</w:t>
            </w:r>
          </w:p>
        </w:tc>
      </w:tr>
    </w:tbl>
    <w:p>
      <w:r>
        <w:t xml:space="preserve"> </w:t>
      </w:r>
    </w:p>
    <w:p>
      <w:pPr>
        <w:spacing w:after="120"/>
      </w:pPr>
      <w:r>
        <w:rPr>
          <w:rFonts w:ascii="Calibri" w:cs="Calibri" w:eastAsia="Calibri" w:hAnsi="Calibri"/>
          <w:color w:val="1E293B"/>
          <w:sz w:val="22"/>
          <w:szCs w:val="22"/>
        </w:rPr>
        <w:t xml:space="preserve">The Engagement Manager reviews the log weekly with Connection's Project Sponsor. Trends are flagged proactively — for example, if approved customizations approach the contractual threshold, the conversation about scope or PCR happens before the threshold is crossed.</w:t>
      </w:r>
    </w:p>
    <w:p>
      <w:r>
        <w:br w:type="page"/>
      </w:r>
    </w:p>
    <w:p>
      <w:pPr>
        <w:pStyle w:val="Heading1"/>
        <w:spacing w:after="180" w:before="360"/>
      </w:pPr>
      <w:r>
        <w:rPr>
          <w:rFonts w:ascii="Calibri" w:cs="Calibri" w:eastAsia="Calibri" w:hAnsi="Calibri"/>
          <w:b/>
          <w:bCs/>
          <w:color w:val="0B1F3A"/>
          <w:sz w:val="32"/>
          <w:szCs w:val="32"/>
        </w:rPr>
        <w:t xml:space="preserve">7.  Communication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Cadence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Audience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Format</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Purpose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Bi-weekly Sponsor Sync</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Engagement Manager + Connection Project Sponsor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30 minutes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Decisions, risks, deviation log review, PCR triggers — not status updates.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Sprint Showcase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Working stakeholders (both teams)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30 minutes, live demo</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Demonstrating completed work, building adoption confidence.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Weekly Written Status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All named stakeholders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Short RYG report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Schedule status, completed work, planned work, risks, decisions needed.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Governance Board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Solution Architect + Connection Sponsor + ECS Practice Lead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30 minutes (only when requests pending)</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Two-key decisions on Customization Requests.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Monthly Steering Committee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Sponsor + senior stakeholders + ECS Engagement Manager + Solution Architect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60 minutes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Phase progress, risk, gates ahead, customization log review.</w:t>
            </w:r>
          </w:p>
        </w:tc>
      </w:tr>
    </w:tbl>
    <w:p>
      <w:pPr>
        <w:pStyle w:val="Heading1"/>
        <w:spacing w:after="180" w:before="360"/>
      </w:pPr>
      <w:r>
        <w:rPr>
          <w:rFonts w:ascii="Calibri" w:cs="Calibri" w:eastAsia="Calibri" w:hAnsi="Calibri"/>
          <w:b/>
          <w:bCs/>
          <w:color w:val="0B1F3A"/>
          <w:sz w:val="32"/>
          <w:szCs w:val="32"/>
        </w:rPr>
        <w:t xml:space="preserve">8.  Escalation Path</w:t>
      </w:r>
    </w:p>
    <w:p>
      <w:pPr>
        <w:spacing w:after="120"/>
      </w:pPr>
      <w:r>
        <w:rPr>
          <w:rFonts w:ascii="Calibri" w:cs="Calibri" w:eastAsia="Calibri" w:hAnsi="Calibri"/>
          <w:color w:val="1E293B"/>
          <w:sz w:val="22"/>
          <w:szCs w:val="22"/>
        </w:rPr>
        <w:t xml:space="preserve">When something cannot be resolved at the working level, the escalation path is:</w:t>
      </w:r>
    </w:p>
    <w:p>
      <w:pPr>
        <w:pStyle w:val="ListParagraph"/>
        <w:numPr>
          <w:ilvl w:val="0"/>
          <w:numId w:val="3"/>
        </w:numPr>
        <w:spacing w:after="60"/>
      </w:pPr>
      <w:r>
        <w:rPr>
          <w:rFonts w:ascii="Calibri" w:cs="Calibri" w:eastAsia="Calibri" w:hAnsi="Calibri"/>
          <w:color w:val="1E293B"/>
          <w:sz w:val="22"/>
          <w:szCs w:val="22"/>
        </w:rPr>
        <w:t xml:space="preserve">Connection PM ↔ ECS Process Consultant — issue surfaced and discussed.</w:t>
      </w:r>
    </w:p>
    <w:p>
      <w:pPr>
        <w:pStyle w:val="ListParagraph"/>
        <w:numPr>
          <w:ilvl w:val="0"/>
          <w:numId w:val="3"/>
        </w:numPr>
        <w:spacing w:after="60"/>
      </w:pPr>
      <w:r>
        <w:rPr>
          <w:rFonts w:ascii="Calibri" w:cs="Calibri" w:eastAsia="Calibri" w:hAnsi="Calibri"/>
          <w:color w:val="1E293B"/>
          <w:sz w:val="22"/>
          <w:szCs w:val="22"/>
        </w:rPr>
        <w:t xml:space="preserve">Connection Sponsor ↔ ECS Engagement Manager — sponsor-level discussion within 48 hours.</w:t>
      </w:r>
    </w:p>
    <w:p>
      <w:pPr>
        <w:pStyle w:val="ListParagraph"/>
        <w:numPr>
          <w:ilvl w:val="0"/>
          <w:numId w:val="3"/>
        </w:numPr>
        <w:spacing w:after="60"/>
      </w:pPr>
      <w:r>
        <w:rPr>
          <w:rFonts w:ascii="Calibri" w:cs="Calibri" w:eastAsia="Calibri" w:hAnsi="Calibri"/>
          <w:color w:val="1E293B"/>
          <w:sz w:val="22"/>
          <w:szCs w:val="22"/>
        </w:rPr>
        <w:t xml:space="preserve">Connection Senior Leadership ↔ ECS Practice Leadership — formal escalation if not resolved within five business days at level 2.</w:t>
      </w:r>
    </w:p>
    <w:p>
      <w:pPr>
        <w:spacing w:after="120"/>
      </w:pPr>
      <w:r>
        <w:rPr>
          <w:rFonts w:ascii="Calibri" w:cs="Calibri" w:eastAsia="Calibri" w:hAnsi="Calibri"/>
          <w:color w:val="1E293B"/>
          <w:sz w:val="22"/>
          <w:szCs w:val="22"/>
        </w:rPr>
        <w:t xml:space="preserve">Escalation is not adversarial. It is the path that ensures decisions get made at the right level when working-level conversations have not converged. Both sides agree to use it openly when needed.</w:t>
      </w:r>
    </w:p>
    <w:p>
      <w:pPr>
        <w:pStyle w:val="Heading1"/>
        <w:spacing w:after="180" w:before="360"/>
      </w:pPr>
      <w:r>
        <w:rPr>
          <w:rFonts w:ascii="Calibri" w:cs="Calibri" w:eastAsia="Calibri" w:hAnsi="Calibri"/>
          <w:b/>
          <w:bCs/>
          <w:color w:val="0B1F3A"/>
          <w:sz w:val="32"/>
          <w:szCs w:val="32"/>
        </w:rPr>
        <w:t xml:space="preserve">9.  How This Charter Stays Current</w:t>
      </w:r>
    </w:p>
    <w:p>
      <w:pPr>
        <w:spacing w:after="120"/>
      </w:pPr>
      <w:r>
        <w:rPr>
          <w:rFonts w:ascii="Calibri" w:cs="Calibri" w:eastAsia="Calibri" w:hAnsi="Calibri"/>
          <w:color w:val="1E293B"/>
          <w:sz w:val="22"/>
          <w:szCs w:val="22"/>
        </w:rPr>
        <w:t xml:space="preserve">The Charter is reviewed at the end of each Phase. Lessons learned from delivery, changes to the platform, and Connection's evolving priorities feed updates. The Charter for Phase 2 will be agreed jointly before Phase 2 work begins, drawing on what worked and what didn't in Phase 1.</w:t>
      </w:r>
    </w:p>
    <w:p>
      <w:pPr>
        <w:pStyle w:val="Heading1"/>
        <w:spacing w:after="180" w:before="360"/>
      </w:pPr>
      <w:r>
        <w:rPr>
          <w:rFonts w:ascii="Calibri" w:cs="Calibri" w:eastAsia="Calibri" w:hAnsi="Calibri"/>
          <w:b/>
          <w:bCs/>
          <w:color w:val="0B1F3A"/>
          <w:sz w:val="32"/>
          <w:szCs w:val="32"/>
        </w:rPr>
        <w:t xml:space="preserve">Acknowledgment</w:t>
      </w:r>
    </w:p>
    <w:p>
      <w:pPr>
        <w:spacing w:after="120"/>
      </w:pPr>
      <w:r>
        <w:rPr>
          <w:rFonts w:ascii="Calibri" w:cs="Calibri" w:eastAsia="Calibri" w:hAnsi="Calibri"/>
          <w:color w:val="1E293B"/>
          <w:sz w:val="22"/>
          <w:szCs w:val="22"/>
        </w:rPr>
        <w:t xml:space="preserve">By engaging in Phase 1 of the ServiceNow reimplementation under this operating model, both ECS and Connection acknowledge the principles, lifecycle, and decision frameworks described in this Charter. Both teams agree to operate in good faith within the framework — and to surface, openly and early, any aspect that is not working.</w:t>
      </w:r>
    </w:p>
    <w:p>
      <w:pPr>
        <w:spacing w:after="120"/>
      </w:pPr>
      <w:r>
        <w:rPr>
          <w:rFonts w:ascii="Calibri" w:cs="Calibri" w:eastAsia="Calibri" w:hAnsi="Calibri"/>
          <w:b/>
          <w:bCs/>
          <w:color w:val="1E293B"/>
          <w:sz w:val="22"/>
          <w:szCs w:val="22"/>
        </w:rPr>
        <w:t xml:space="preserve">ECS Federal — ServiceNow Practice</w:t>
      </w:r>
      <w:r>
        <w:rPr>
          <w:rFonts w:ascii="Calibri" w:cs="Calibri" w:eastAsia="Calibri" w:hAnsi="Calibri"/>
          <w:color w:val="1E293B"/>
          <w:sz w:val="22"/>
          <w:szCs w:val="22"/>
        </w:rPr>
        <w:t xml:space="preserve">                </w:t>
      </w:r>
      <w:r>
        <w:rPr>
          <w:rFonts w:ascii="Calibri" w:cs="Calibri" w:eastAsia="Calibri" w:hAnsi="Calibri"/>
          <w:b/>
          <w:bCs/>
          <w:color w:val="1E293B"/>
          <w:sz w:val="22"/>
          <w:szCs w:val="22"/>
        </w:rPr>
        <w:t xml:space="preserve">Connection — Project Sponsor</w:t>
      </w:r>
    </w:p>
    <w:p>
      <w:pPr>
        <w:spacing w:after="120"/>
      </w:pPr>
      <w:r>
        <w:rPr>
          <w:rFonts w:ascii="Calibri" w:cs="Calibri" w:eastAsia="Calibri" w:hAnsi="Calibri"/>
          <w:color w:val="1E293B"/>
          <w:sz w:val="22"/>
          <w:szCs w:val="22"/>
        </w:rPr>
        <w:t xml:space="preserve">Engagement Manager: ____________________     </w:t>
      </w:r>
      <w:r>
        <w:rPr>
          <w:rFonts w:ascii="Calibri" w:cs="Calibri" w:eastAsia="Calibri" w:hAnsi="Calibri"/>
          <w:color w:val="1E293B"/>
          <w:sz w:val="22"/>
          <w:szCs w:val="22"/>
        </w:rPr>
        <w:t xml:space="preserve">Sponsor: ____________________</w:t>
      </w:r>
    </w:p>
    <w:p>
      <w:pPr>
        <w:spacing w:after="120"/>
      </w:pPr>
      <w:r>
        <w:rPr>
          <w:rFonts w:ascii="Calibri" w:cs="Calibri" w:eastAsia="Calibri" w:hAnsi="Calibri"/>
          <w:color w:val="1E293B"/>
          <w:sz w:val="22"/>
          <w:szCs w:val="22"/>
        </w:rPr>
        <w:t xml:space="preserve">Date: ____________________                                </w:t>
      </w:r>
      <w:r>
        <w:rPr>
          <w:rFonts w:ascii="Calibri" w:cs="Calibri" w:eastAsia="Calibri" w:hAnsi="Calibri"/>
          <w:color w:val="1E293B"/>
          <w:sz w:val="22"/>
          <w:szCs w:val="22"/>
        </w:rPr>
        <w:t xml:space="preserve">Date: ____________________</w:t>
      </w:r>
    </w:p>
    <w:sectPr>
      <w:headerReference w:type="default" r:id="rId7"/>
      <w:footerReference w:type="default" r:id="rId8"/>
      <w:pgSz w:w="12240" w:h="15840" w:orient="portrait"/>
      <w:pgMar w:top="1620" w:right="1440" w:bottom="1440" w:left="1440"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75569"/>
        <w:sz w:val="16"/>
        <w:szCs w:val="16"/>
      </w:rPr>
      <w:t xml:space="preserve">Connection · ECS Phase 1  ·  Governance Charter</w:t>
    </w:r>
    <w:r>
      <w:rPr>
        <w:rFonts w:ascii="Calibri" w:cs="Calibri" w:eastAsia="Calibri" w:hAnsi="Calibri"/>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047750" cy="2000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00025"/>
                  </a:xfrm>
                  <a:prstGeom prst="rect">
                    <a:avLst/>
                  </a:prstGeom>
                </pic:spPr>
              </pic:pic>
            </a:graphicData>
          </a:graphic>
        </wp:inline>
      </w:drawing>
    </w:r>
    <w:r>
      <w:rPr>
        <w:rFonts w:ascii="Calibri" w:cs="Calibri" w:eastAsia="Calibri" w:hAnsi="Calibri"/>
      </w:rPr>
      <w:t xml:space="preserve">	</w:t>
    </w:r>
    <w:r>
      <w:rPr>
        <w:rFonts w:ascii="Calibri" w:cs="Calibri" w:eastAsia="Calibri" w:hAnsi="Calibri"/>
        <w:color w:val="475569"/>
        <w:spacing w:val="30"/>
        <w:sz w:val="18"/>
        <w:szCs w:val="18"/>
      </w:rPr>
      <w:t xml:space="preserve">Connection  ·  Phase 1 Governance Charter</w:t>
    </w:r>
  </w:p>
  <w:p>
    <w:pPr>
      <w:pBdr>
        <w:bottom w:val="single" w:color="14B8A6" w:sz="8" w:space="1"/>
      </w:pBdr>
      <w:spacing w:before="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B1F3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54846f4066746b49259fb08f2a83d17c2a67096.png"/><Relationship Id="rId14" Type="http://schemas.openxmlformats.org/officeDocument/2006/relationships/customXml" Target="../customXml/item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DOCID-202112391-25585</_dlc_DocId>
    <_dlc_DocIdUrl xmlns="ea10e7c1-45f6-45a6-9220-470b2ac38f45">
      <Url>https://itecsfederal.sharepoint.com/teams/MissionSolutions/ISM/_layouts/15/DocIdRedir.aspx?ID=DOCID-202112391-25585</Url>
      <Description>DOCID-202112391-25585</Description>
    </_dlc_DocIdUrl>
  </documentManagement>
</p:properties>
</file>

<file path=customXml/itemProps1.xml><?xml version="1.0" encoding="utf-8"?>
<ds:datastoreItem xmlns:ds="http://schemas.openxmlformats.org/officeDocument/2006/customXml" ds:itemID="{BBA4F760-46CC-446C-8CA5-B034A7C24DB2}"/>
</file>

<file path=customXml/itemProps2.xml><?xml version="1.0" encoding="utf-8"?>
<ds:datastoreItem xmlns:ds="http://schemas.openxmlformats.org/officeDocument/2006/customXml" ds:itemID="{7EF6A81B-4424-46C6-93C1-5D7ACB266DA3}"/>
</file>

<file path=customXml/itemProps3.xml><?xml version="1.0" encoding="utf-8"?>
<ds:datastoreItem xmlns:ds="http://schemas.openxmlformats.org/officeDocument/2006/customXml" ds:itemID="{C74014E1-CB09-4A7E-8F6E-D748C3ECE32F}"/>
</file>

<file path=customXml/itemProps4.xml><?xml version="1.0" encoding="utf-8"?>
<ds:datastoreItem xmlns:ds="http://schemas.openxmlformats.org/officeDocument/2006/customXml" ds:itemID="{4FACA2C1-3105-4562-9177-4C1C3BEA7CB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Charter — Connection ServiceNow Reimplementation</dc:title>
  <dc:creator>ECS Federal · ServiceNow Practice</dc:creator>
  <cp:lastModifiedBy>Un-named</cp:lastModifiedBy>
  <cp:revision>1</cp:revision>
  <dcterms:created xsi:type="dcterms:W3CDTF">2026-05-03T03:16:58Z</dcterms:created>
  <dcterms:modified xsi:type="dcterms:W3CDTF">2026-05-03T03:16:58Z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21259e77-edcf-4728-92f5-503514d777da</vt:lpwstr>
  </property>
</Properties>
</file>