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TEAM ONBOARDING</w:t>
      </w:r>
    </w:p>
    <w:p>
      <w:pPr>
        <w:spacing w:before="0" w:after="40"/>
      </w:pPr>
      <w:r>
        <w:rPr>
          <w:rFonts w:ascii="Calibri" w:hAnsi="Calibri"/>
          <w:b/>
          <w:color w:val="0B1F3A"/>
          <w:sz w:val="56"/>
        </w:rPr>
        <w:t>Connection Engagement</w:t>
      </w:r>
    </w:p>
    <w:p>
      <w:pPr>
        <w:spacing w:before="0" w:after="40"/>
      </w:pPr>
      <w:r>
        <w:rPr>
          <w:rFonts w:ascii="Calibri" w:hAnsi="Calibri"/>
          <w:b/>
          <w:color w:val="0B1F3A"/>
          <w:sz w:val="56"/>
        </w:rPr>
        <w:t>Team Onboarding &amp; Vision</w:t>
      </w:r>
    </w:p>
    <w:p>
      <w:pPr>
        <w:spacing w:before="120" w:after="400"/>
      </w:pPr>
      <w:r>
        <w:rPr>
          <w:rFonts w:ascii="Calibri" w:hAnsi="Calibri"/>
          <w:i/>
          <w:color w:val="0D9488"/>
          <w:sz w:val="24"/>
        </w:rPr>
        <w:t>How we deliver Connection - the vision, the discipline, and your part in it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delivery team - EM, Solution Architect, Process Consultant, Technical Consultant(s), Practice Lead</w:t>
      </w:r>
    </w:p>
    <w:p>
      <w:pPr>
        <w:spacing w:after="40"/>
      </w:pPr>
      <w:r>
        <w:rPr>
          <w:rFonts w:ascii="Calibri" w:hAnsi="Calibri"/>
          <w:b w:val="0"/>
          <w:i w:val="0"/>
          <w:color w:val="475569"/>
          <w:sz w:val="20"/>
        </w:rPr>
        <w:t>Companion to: OOTB Delivery Playbook - Engagement Delivery Guidelines - Role &amp; Accountability Quick-Reference</w:t>
      </w:r>
    </w:p>
    <w:p>
      <w:pPr>
        <w:spacing w:after="80"/>
      </w:pPr>
      <w:r>
        <w:rPr>
          <w:rFonts w:ascii="Calibri" w:hAnsi="Calibri"/>
          <w:b w:val="0"/>
          <w:i w:val="0"/>
          <w:color w:val="475569"/>
          <w:sz w:val="20"/>
        </w:rPr>
        <w:t>Document ID: INT-CONN-ONB-01     ·     Version: 1.0     ·     Status: Draft</w:t>
      </w:r>
    </w:p>
    <w:p>
      <w:pPr>
        <w:spacing w:after="280"/>
      </w:pPr>
      <w:r>
        <w:rPr>
          <w:rFonts w:ascii="Calibri" w:hAnsi="Calibri"/>
          <w:b w:val="0"/>
          <w:i/>
          <w:color w:val="475569"/>
          <w:sz w:val="20"/>
        </w:rPr>
        <w:t>Internal Use Only · Confidential</w:t>
      </w:r>
    </w:p>
    <w:p>
      <w:r>
        <w:br w:type="page"/>
      </w:r>
    </w:p>
    <w:p>
      <w:pPr>
        <w:pStyle w:val="Heading1"/>
      </w:pPr>
      <w:r>
        <w:t>How to Use This Guide</w:t>
      </w:r>
    </w:p>
    <w:p>
      <w:pPr>
        <w:spacing w:after="160" w:before="0"/>
      </w:pPr>
      <w:r>
        <w:rPr>
          <w:rFonts w:ascii="Calibri" w:hAnsi="Calibri"/>
          <w:color w:val="1A1A1A"/>
          <w:sz w:val="22"/>
        </w:rPr>
        <w:t>This is the first thing every ECS consultant reads when joining the Connection engagement. It sets the vision, explains the discipline we deliver by, and points you to exactly what your role needs - no more, no less. It is deliberately short. Read it once, then use the Engagement Delivery Guidelines for the operating rules and the Role &amp; Accountability Quick-Reference for your specific reading path.</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Connection is our first engagement under this model. How we deliver it sets the pattern - and the proof - for every engagement that follows.</w:t>
      </w:r>
    </w:p>
    <w:p>
      <w:pPr>
        <w:pStyle w:val="Heading1"/>
      </w:pPr>
      <w:r>
        <w:t>1.  The Vision - Why This Matters</w:t>
      </w:r>
    </w:p>
    <w:p>
      <w:pPr>
        <w:spacing w:after="160" w:before="0"/>
      </w:pPr>
      <w:r>
        <w:rPr>
          <w:rFonts w:ascii="Calibri" w:hAnsi="Calibri"/>
          <w:color w:val="1A1A1A"/>
          <w:sz w:val="22"/>
        </w:rPr>
        <w:t>Connection is a ServiceNow reimplementation, but the real work is changing how a customer relates to their platform: out of a domain-separated, heavily customized instance and onto a clean, OOTB-aligned, AI-ready foundation. We call the theme “Modernizing the Core.” We stand up proven baseline capability first, and anything that deviates is captured and managed - not lost, and not quietly built.</w:t>
      </w:r>
    </w:p>
    <w:p>
      <w:pPr>
        <w:pStyle w:val="Heading2"/>
      </w:pPr>
      <w:r>
        <w:t>Discipline is what makes this viable</w:t>
      </w:r>
    </w:p>
    <w:p>
      <w:pPr>
        <w:spacing w:after="160" w:before="0"/>
      </w:pPr>
      <w:r>
        <w:rPr>
          <w:rFonts w:ascii="Calibri" w:hAnsi="Calibri"/>
          <w:color w:val="1A1A1A"/>
          <w:sz w:val="22"/>
        </w:rPr>
        <w:t>OOTB-first is not a slogan; it is an economic model. Without the discipline, an OOTB engagement quietly collapses into a custom-build engagement at the same price - which is how practices lose money on this model. With the discipline, each engagement compounds into the next: reusable artifacts, shared decision patterns, and customers who have experienced the approach and refer more like it. Every consultant on Connection is a steward of that discipline.</w:t>
      </w:r>
    </w:p>
    <w:p>
      <w:pPr>
        <w:pStyle w:val="Heading2"/>
      </w:pPr>
      <w:r>
        <w:t>What we are proving</w:t>
      </w:r>
    </w:p>
    <w:p>
      <w:pPr>
        <w:spacing w:after="160" w:before="0"/>
      </w:pPr>
      <w:r>
        <w:rPr>
          <w:rFonts w:ascii="Calibri" w:hAnsi="Calibri"/>
          <w:color w:val="1A1A1A"/>
          <w:sz w:val="22"/>
        </w:rPr>
        <w:t>Because Connection is the first engagement, we are proving the model works end to end: that the team can absorb the approach quickly, that the client stays aligned without being overwhelmed, and that leadership can see engagement health early through simple checks. Deliver Connection well and the next engagement starts easier.</w:t>
      </w:r>
    </w:p>
    <w:p>
      <w:pPr>
        <w:pStyle w:val="Heading1"/>
      </w:pPr>
      <w:r>
        <w:t>2.  The Connection Engagement at a Glance</w:t>
      </w:r>
    </w:p>
    <w:p>
      <w:pPr>
        <w:spacing w:after="160" w:before="0"/>
      </w:pPr>
      <w:r>
        <w:rPr>
          <w:rFonts w:ascii="Calibri" w:hAnsi="Calibri"/>
          <w:color w:val="1A1A1A"/>
          <w:sz w:val="22"/>
        </w:rPr>
        <w:t>The authoritative source is SOW v2.0 (the Project Charter). The essentials:</w:t>
      </w:r>
    </w:p>
    <w:tbl>
      <w:tblPr>
        <w:tblW w:type="auto" w:w="0"/>
        <w:jc w:val="left"/>
        <w:tblLook w:firstColumn="1" w:firstRow="1" w:lastColumn="0" w:lastRow="0" w:noHBand="0" w:noVBand="1" w:val="04A0"/>
      </w:tblPr>
      <w:tblGrid>
        <w:gridCol w:w="4680"/>
        <w:gridCol w:w="4680"/>
      </w:tblGrid>
      <w:tr>
        <w:trPr>
          <w:tblHeader/>
        </w:trPr>
        <w:tc>
          <w:tcPr>
            <w:tcW w:type="dxa" w:w="6739"/>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Item</w:t>
            </w:r>
          </w:p>
        </w:tc>
        <w:tc>
          <w:tcPr>
            <w:tcW w:type="dxa" w:w="6739"/>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Client</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Connection (PC Connection)</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18-week Phase 1 OOTB reimplementation - exit domain separation; modern, AI-ready core</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1 scope</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ITSM Core, Service Catalog, Employee Center (VA, AI Search, KM), CMDB/CSDM, HAM foundations, integrations</w:t>
            </w:r>
          </w:p>
        </w:tc>
      </w:tr>
      <w:tr>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Cadence</w:t>
            </w:r>
          </w:p>
        </w:tc>
        <w:tc>
          <w:tcPr>
            <w:tcW w:type="dxa" w:w="6739"/>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Two-week sprints - Sprints 0-8 across 4 stages; Go-Live Week 16; Hypercare Weeks 17-18</w:t>
            </w:r>
          </w:p>
        </w:tc>
      </w:tr>
      <w:tr>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Success metrics</w:t>
            </w:r>
          </w:p>
        </w:tc>
        <w:tc>
          <w:tcPr>
            <w:tcW w:type="dxa" w:w="6739"/>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MTTR, SLA attainment, change success rate - tracked in Platform Analytics from day one</w:t>
            </w:r>
          </w:p>
        </w:tc>
      </w:tr>
    </w:tbl>
    <w:p>
      <w:pPr>
        <w:spacing w:after="40"/>
      </w:pPr>
    </w:p>
    <w:p>
      <w:pPr>
        <w:pStyle w:val="Heading1"/>
      </w:pPr>
      <w:r>
        <w:t>3.  The OOTB-First Discipline</w:t>
      </w:r>
    </w:p>
    <w:p>
      <w:pPr>
        <w:spacing w:after="160" w:before="0"/>
      </w:pPr>
      <w:r>
        <w:rPr>
          <w:rFonts w:ascii="Calibri" w:hAnsi="Calibri"/>
          <w:color w:val="1A1A1A"/>
          <w:sz w:val="22"/>
        </w:rPr>
        <w:t>Every in-scope build begins by demonstrating standard ServiceNow. Customization is the exception, never the default. The discipline is enforced where it actually lives: in the workshop, in the moment a process owner with ten years of legacy customization decides whether to accept the OOTB pattern. Done well, a workshop ends with a signed-off user story headed straight to the sprint. Done badly, it ends with a list of “things to think about” that return as customization requests two weeks later.</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Rule of Three: if a requirement is met by (1) Configuration, (2) UI Policy, or (3) Flow Designer, build it. If not, it is a customization - and it goes through the deviation path before any work starts. The Engagement Delivery Guidelines cover the mechanics.</w:t>
      </w:r>
    </w:p>
    <w:p>
      <w:pPr>
        <w:pStyle w:val="Heading1"/>
      </w:pPr>
      <w:r>
        <w:t>4.  Curate, Don't Copy</w:t>
      </w:r>
    </w:p>
    <w:p>
      <w:pPr>
        <w:spacing w:after="160" w:before="0"/>
      </w:pPr>
      <w:r>
        <w:rPr>
          <w:rFonts w:ascii="Calibri" w:hAnsi="Calibri"/>
          <w:color w:val="1A1A1A"/>
          <w:sz w:val="22"/>
        </w:rPr>
        <w:t>The OOTB practice library (folders 00-03) is comprehensive because it is the whole body of practice knowledge. Connection uses a curated subset of it - distilled by role for the team, and right-sized for the client. Do not dump the library on anyone. The onboarding map (01_Onboarding/ONBOARDING_MAP.md) defines what each role pulls and what the client sees and when. When in doubt, give people the one thing they need for the moment in front of them.</w:t>
      </w:r>
    </w:p>
    <w:p>
      <w:pPr>
        <w:pStyle w:val="Heading1"/>
      </w:pPr>
      <w:r>
        <w:t>5.  Your Reading Path by Role</w:t>
      </w:r>
    </w:p>
    <w:p>
      <w:pPr>
        <w:spacing w:after="160" w:before="0"/>
      </w:pPr>
      <w:r>
        <w:rPr>
          <w:rFonts w:ascii="Calibri" w:hAnsi="Calibri"/>
          <w:color w:val="1A1A1A"/>
          <w:sz w:val="22"/>
        </w:rPr>
        <w:t>Each role has a short Core path to read before Sprint 0 and a Just-in-Time set pulled per sprint. The full detail, including what you own and your heaviest sprints, is in the Role &amp; Accountability Quick-Reference. In summary:</w:t>
      </w:r>
    </w:p>
    <w:p>
      <w:pPr>
        <w:pStyle w:val="ListBullet"/>
        <w:spacing w:after="40"/>
        <w:ind w:left="360"/>
      </w:pPr>
      <w:r>
        <w:rPr>
          <w:rFonts w:ascii="Calibri" w:hAnsi="Calibri"/>
          <w:sz w:val="22"/>
        </w:rPr>
        <w:t>Engagement Manager - Delivery Playbook (setup + customer mgmt), Governance Operating Guide, the SOW.</w:t>
      </w:r>
    </w:p>
    <w:p>
      <w:pPr>
        <w:pStyle w:val="ListBullet"/>
        <w:spacing w:after="40"/>
        <w:ind w:left="360"/>
      </w:pPr>
      <w:r>
        <w:rPr>
          <w:rFonts w:ascii="Calibri" w:hAnsi="Calibri"/>
          <w:sz w:val="22"/>
        </w:rPr>
        <w:t>Solution Architect - Delivery Playbook, Adopt-vs-Reengineer guidance, the relevant Accelerator Pack blueprints.</w:t>
      </w:r>
    </w:p>
    <w:p>
      <w:pPr>
        <w:pStyle w:val="ListBullet"/>
        <w:spacing w:after="40"/>
        <w:ind w:left="360"/>
      </w:pPr>
      <w:r>
        <w:rPr>
          <w:rFonts w:ascii="Calibri" w:hAnsi="Calibri"/>
          <w:sz w:val="22"/>
        </w:rPr>
        <w:t>Process Consultant - Decision Topic Guides and Workshop Pre-Reads for in-scope processes.</w:t>
      </w:r>
    </w:p>
    <w:p>
      <w:pPr>
        <w:pStyle w:val="ListBullet"/>
        <w:spacing w:after="40"/>
        <w:ind w:left="360"/>
      </w:pPr>
      <w:r>
        <w:rPr>
          <w:rFonts w:ascii="Calibri" w:hAnsi="Calibri"/>
          <w:sz w:val="22"/>
        </w:rPr>
        <w:t>Technical Consultant(s) - Sprint 0 setup and the Accelerator Packs for in-scope modules.</w:t>
      </w:r>
    </w:p>
    <w:p>
      <w:pPr>
        <w:pStyle w:val="ListBullet"/>
        <w:spacing w:after="40"/>
        <w:ind w:left="360"/>
      </w:pPr>
      <w:r>
        <w:rPr>
          <w:rFonts w:ascii="Calibri" w:hAnsi="Calibri"/>
          <w:sz w:val="22"/>
        </w:rPr>
        <w:t>Practice Lead - trust-but-verify metrics, the two-key model, escalation triggers.</w:t>
      </w:r>
    </w:p>
    <w:p>
      <w:pPr>
        <w:pStyle w:val="Heading1"/>
      </w:pPr>
      <w:r>
        <w:t>6.  How We Stay Honest</w:t>
      </w:r>
    </w:p>
    <w:p>
      <w:pPr>
        <w:spacing w:after="160" w:before="0"/>
      </w:pPr>
      <w:r>
        <w:rPr>
          <w:rFonts w:ascii="Calibri" w:hAnsi="Calibri"/>
          <w:color w:val="1A1A1A"/>
          <w:sz w:val="22"/>
        </w:rPr>
        <w:t>Engagement health is visible from outside the engagement so leadership can support without micromanaging. Three simple mechanisms do the work: a weekly health report (velocity, customization count, dependency slips), the Customization Council that gates every deviation, and the Governance Triage Log that records every decision in the open. Your job on the team is to surface issues early - most engagements that fail do so because a hard conversation was avoided or had too late, not because of technical execution.</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If you are ever unsure whether something is OOTB or a deviation, stop and raise it. A 30-second question in standup beats a customization discovered at UAT.</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60120" cy="178931"/>
                  </a:xfrm>
                  <a:prstGeom prst="rect"/>
                </pic:spPr>
              </pic:pic>
            </a:graphicData>
          </a:graphic>
        </wp:inline>
      </w:drawing>
    </w:r>
    <w:r>
      <w:tab/>
    </w:r>
    <w:r>
      <w:rPr>
        <w:rFonts w:ascii="Calibri" w:hAnsi="Calibri"/>
        <w:color w:val="475569"/>
        <w:spacing w:val="30"/>
        <w:sz w:val="18"/>
      </w:rPr>
      <w:t>Internal - Connection Team Onboarding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