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ACCELERATOR PACK</w:t>
      </w:r>
    </w:p>
    <w:p>
      <w:pPr>
        <w:spacing w:before="0" w:after="40"/>
      </w:pPr>
      <w:r>
        <w:rPr>
          <w:rFonts w:ascii="Calibri" w:hAnsi="Calibri"/>
          <w:b/>
          <w:color w:val="0B1F3A"/>
          <w:sz w:val="56"/>
        </w:rPr>
        <w:t>CMDB-CSDM</w:t>
      </w:r>
    </w:p>
    <w:p>
      <w:pPr>
        <w:spacing w:before="0" w:after="40"/>
      </w:pPr>
      <w:r>
        <w:rPr>
          <w:rFonts w:ascii="Calibri" w:hAnsi="Calibri"/>
          <w:b/>
          <w:color w:val="0B1F3A"/>
          <w:sz w:val="56"/>
        </w:rPr>
        <w:t>Accelerator Pack</w:t>
      </w:r>
    </w:p>
    <w:p>
      <w:pPr>
        <w:spacing w:before="120" w:after="400"/>
      </w:pPr>
      <w:r>
        <w:rPr>
          <w:rFonts w:ascii="Calibri" w:hAnsi="Calibri"/>
          <w:i/>
          <w:color w:val="0D9488"/>
          <w:sz w:val="24"/>
        </w:rPr>
        <w:t>CSDM taxonomy, CI class selection, and CMDB governance for the OOTB-first ServiceNow engagement</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Customer Project Sponsor, Enterprise Architect, IT Operations Manager, and named CMDB Data Stewards</w:t>
      </w:r>
    </w:p>
    <w:p>
      <w:pPr>
        <w:spacing w:after="40"/>
      </w:pPr>
      <w:r>
        <w:rPr>
          <w:rFonts w:ascii="Calibri" w:hAnsi="Calibri"/>
          <w:b w:val="0"/>
          <w:i w:val="0"/>
          <w:color w:val="475569"/>
          <w:sz w:val="20"/>
        </w:rPr>
        <w:t>Companion to: Foundation Data Pack · ITSM Accelerator Pack · Integration Accelerator Pack</w:t>
      </w:r>
    </w:p>
    <w:p>
      <w:pPr>
        <w:spacing w:after="80"/>
      </w:pPr>
      <w:r>
        <w:rPr>
          <w:rFonts w:ascii="Calibri" w:hAnsi="Calibri"/>
          <w:b w:val="0"/>
          <w:i w:val="0"/>
          <w:color w:val="475569"/>
          <w:sz w:val="20"/>
        </w:rPr>
        <w:t>Document ID: AP-CMDB-CSDM     ·     Version: 1.0     ·     Status: Released</w:t>
      </w:r>
    </w:p>
    <w:p>
      <w:pPr>
        <w:spacing w:after="280"/>
      </w:pPr>
      <w:r>
        <w:rPr>
          <w:rFonts w:ascii="Calibri" w:hAnsi="Calibri"/>
          <w:b w:val="0"/>
          <w:i/>
          <w:color w:val="475569"/>
          <w:sz w:val="20"/>
        </w:rPr>
        <w:t>Shared — for the recipient and their organisation</w:t>
      </w:r>
    </w:p>
    <w:p>
      <w:r>
        <w:br w:type="page"/>
      </w:r>
    </w:p>
    <w:p>
      <w:pPr>
        <w:pStyle w:val="Heading1"/>
      </w:pPr>
      <w:r>
        <w:t>What This Pack Is</w:t>
      </w:r>
    </w:p>
    <w:p>
      <w:pPr>
        <w:spacing w:after="160" w:before="0"/>
      </w:pPr>
      <w:r>
        <w:rPr>
          <w:rFonts w:ascii="Calibri" w:hAnsi="Calibri"/>
          <w:color w:val="1A1A1A"/>
          <w:sz w:val="22"/>
        </w:rPr>
        <w:t>This Accelerator Pack contains six workbooks that together define and govern the ServiceNow CMDB and Common Service Data Model (CSDM) for your engagement. The scope is deliberately focused on the minimum needed to make the CMDB trustworthy and useful from day one: a clean service taxonomy, a scoped CI class list, and a governance framework that keeps it accurate after go-live.</w:t>
      </w:r>
    </w:p>
    <w:p>
      <w:pPr>
        <w:spacing w:after="160" w:before="0"/>
      </w:pPr>
      <w:r>
        <w:rPr>
          <w:rFonts w:ascii="Calibri" w:hAnsi="Calibri"/>
          <w:color w:val="1A1A1A"/>
          <w:sz w:val="22"/>
        </w:rPr>
        <w:t>CSDM is the framework that connects configuration items (the things IT manages) to business services (the outcomes IT delivers). Without CSDM, your CMDB is a list of assets. With CSDM, it is a live map of how IT infrastructure supports business operations — the data model that powers service impact analysis, Virtual Agent service context, Predictive Intelligence, and CMDB Health dashboards.</w:t>
      </w:r>
    </w:p>
    <w:p>
      <w:pPr>
        <w:spacing w:after="160" w:before="0"/>
      </w:pPr>
      <w:r>
        <w:rPr>
          <w:rFonts w:ascii="Calibri" w:hAnsi="Calibri"/>
          <w:color w:val="1A1A1A"/>
          <w:sz w:val="22"/>
        </w:rPr>
        <w:t>The six workbooks follow a structured sequence: define the service taxonomy first (Workbook 01), agree which CI classes to track (Workbook 02), define the specific services (Workbooks 03 and 04), map the relationships (Workbook 05), and establish governance (Workbook 06). Do not skip workbooks or reverse the sequence — each one is a prerequisite for the next.</w:t>
      </w:r>
    </w:p>
    <w:p>
      <w:pPr>
        <w:pStyle w:val="Heading1"/>
      </w:pPr>
      <w:r>
        <w:t>The Six Workbooks</w:t>
      </w:r>
    </w:p>
    <w:tbl>
      <w:tblPr>
        <w:tblW w:type="auto" w:w="0"/>
        <w:jc w:val="left"/>
        <w:tblLook w:firstColumn="1" w:firstRow="1" w:lastColumn="0" w:lastRow="0" w:noHBand="0" w:noVBand="1" w:val="04A0"/>
      </w:tblPr>
      <w:tblGrid>
        <w:gridCol w:w="1872"/>
        <w:gridCol w:w="1872"/>
        <w:gridCol w:w="1872"/>
        <w:gridCol w:w="1872"/>
        <w:gridCol w:w="1872"/>
      </w:tblGrid>
      <w:tr>
        <w:trPr>
          <w:tblHeader/>
        </w:trPr>
        <w:tc>
          <w:tcPr>
            <w:tcW w:type="dxa" w:w="26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t>
            </w:r>
          </w:p>
        </w:tc>
        <w:tc>
          <w:tcPr>
            <w:tcW w:type="dxa" w:w="26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Workbook</w:t>
            </w:r>
          </w:p>
        </w:tc>
        <w:tc>
          <w:tcPr>
            <w:tcW w:type="dxa" w:w="26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Captures</w:t>
            </w:r>
          </w:p>
        </w:tc>
        <w:tc>
          <w:tcPr>
            <w:tcW w:type="dxa" w:w="26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Customer Owner</w:t>
            </w:r>
          </w:p>
        </w:tc>
        <w:tc>
          <w:tcPr>
            <w:tcW w:type="dxa" w:w="26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Sprint Window</w:t>
            </w:r>
          </w:p>
        </w:tc>
      </w:tr>
      <w:tr>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01</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CSDM Service Taxonomy</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Four-layer CSDM model — Foundational, Managed, Business, Application tiers; scope and naming standards</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Enterprise Architect / ITSM Owner</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1, Wks 1–2</w:t>
            </w:r>
          </w:p>
        </w:tc>
      </w:tr>
      <w:tr>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02</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CI Class Selection</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MVP CI classes, mandatory attributes, Discovery sources, and out-of-scope rationale</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IT Operations Manager</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1 Wk 2 – Sprint 2 Wk 1</w:t>
            </w:r>
          </w:p>
        </w:tc>
      </w:tr>
      <w:tr>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03</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Business Service Definitions</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One row per Business Service: name, owner, support group, SLA targets, user population</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ITSM Owner / IT Director</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1 Wks 1–2</w:t>
            </w:r>
          </w:p>
        </w:tc>
      </w:tr>
      <w:tr>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04</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Technical Services &amp; Applications</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Technical Service groupings and Application Service CIs that underpin each Business Service</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Infrastructure Lead / App Owners</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1 Wk 2 – Sprint 2 Wk 2</w:t>
            </w:r>
          </w:p>
        </w:tc>
      </w:tr>
      <w:tr>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05</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Service-CI Relationships</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CI-to-service relationship matrix; IRE auto-relationship rules; orphaned CI triage</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SA + IT Ops Lead</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2 Wks 1–2</w:t>
            </w:r>
          </w:p>
        </w:tc>
      </w:tr>
      <w:tr>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06</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CMDB Governance Baseline</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Data steward assignments, staleness thresholds, CMDB Health KPI targets, review cadence</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IT Operations Manager</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2 Wks 1–2</w:t>
            </w:r>
          </w:p>
        </w:tc>
      </w:tr>
    </w:tbl>
    <w:p>
      <w:pPr>
        <w:spacing w:after="40"/>
      </w:pPr>
    </w:p>
    <w:p>
      <w:pPr>
        <w:spacing w:after="160" w:before="0"/>
      </w:pPr>
      <w:r>
        <w:rPr>
          <w:rFonts w:ascii="Calibri" w:hAnsi="Calibri"/>
          <w:color w:val="1A1A1A"/>
          <w:sz w:val="22"/>
        </w:rPr>
        <w:t>Each workbook contains eight tabs that mirror the ECS standard Accelerator Pack structure: Instructions (start here); Process Decisions (workshop questions with ECS OOTB recommendations pre-filled); Dependencies (prerequisites); Configuration Data (the OOTB-aligned values used to configure ServiceNow); R&amp;R (RACI matrix); Consultant Guide (internal ECS reference); Adoption vs Re-engineering (OOTB defence language for common pushback scenarios); and ServiceNow Mapping (target tables and OOTB features). Customers focus on Instructions, Process Decisions, and Configuration Data. ECS consultants use all eight tabs.</w:t>
      </w:r>
    </w:p>
    <w:p>
      <w:pPr>
        <w:pStyle w:val="Heading1"/>
      </w:pPr>
      <w:r>
        <w:t>Sprint Alignment</w:t>
      </w:r>
    </w:p>
    <w:p>
      <w:pPr>
        <w:spacing w:after="160" w:before="0"/>
      </w:pPr>
      <w:r>
        <w:rPr>
          <w:rFonts w:ascii="Calibri" w:hAnsi="Calibri"/>
          <w:color w:val="1A1A1A"/>
          <w:sz w:val="22"/>
        </w:rPr>
        <w:t>This pack spans Month 1 of the 18-week engagement — Sprint 1 (CSDM definition and validation) and Sprint 2 (Discovery initiation and CMDB normalisation). The Foundation Data Pack must be completed before this pack can begin: users, groups, locations, and departments must exist in ServiceNow before Business Service owners and data stewards can be assigned.</w:t>
      </w:r>
    </w:p>
    <w:p>
      <w:pPr>
        <w:spacing w:after="160" w:before="0"/>
      </w:pPr>
      <w:r>
        <w:rPr>
          <w:rFonts w:ascii="Calibri" w:hAnsi="Calibri"/>
          <w:color w:val="1A1A1A"/>
          <w:sz w:val="22"/>
        </w:rPr>
        <w:t>By the end of Sprint 2, the following must be in place: Business Service CIs loaded and approved, Technical Service CIs loaded, first Discovery run complete with CIs related to services, CMDB Health dashboard baselined, and the governance framework operational with named stewards. These are the prerequisites for the ITSM sprint builds (Sprints 3–4) where incident, problem, and change management all reference service data from this pack.</w:t>
      </w:r>
    </w:p>
    <w:p>
      <w:pPr>
        <w:pStyle w:val="Heading1"/>
      </w:pPr>
      <w:r>
        <w:t>OOTB-First Principles</w:t>
      </w:r>
    </w:p>
    <w:p>
      <w:pPr>
        <w:spacing w:after="160" w:before="0"/>
      </w:pPr>
      <w:r>
        <w:rPr>
          <w:rFonts w:ascii="Calibri" w:hAnsi="Calibri"/>
          <w:color w:val="1A1A1A"/>
          <w:sz w:val="22"/>
        </w:rPr>
        <w:t>The ECS OOTB-first approach requires three commitments on CMDB and CSDM:</w:t>
      </w:r>
    </w:p>
    <w:p>
      <w:pPr>
        <w:spacing w:after="160" w:before="0"/>
      </w:pPr>
      <w:r>
        <w:rPr>
          <w:rFonts w:ascii="Calibri" w:hAnsi="Calibri"/>
          <w:color w:val="1A1A1A"/>
          <w:sz w:val="22"/>
        </w:rPr>
        <w:t>First, use OOTB CSDM classifications — Business Service, Technical Service, Application Service, External Service. Do not create custom CI classes to represent service layers. Custom service tables require upgrade maintenance and block Predictive Intelligence and Virtual Agent from understanding service context.</w:t>
      </w:r>
    </w:p>
    <w:p>
      <w:pPr>
        <w:spacing w:after="160" w:before="0"/>
      </w:pPr>
      <w:r>
        <w:rPr>
          <w:rFonts w:ascii="Calibri" w:hAnsi="Calibri"/>
          <w:color w:val="1A1A1A"/>
          <w:sz w:val="22"/>
        </w:rPr>
        <w:t>Second, Discovery-first data sourcing. Do not migrate legacy CI records. Run Discovery, validate the results, and retire anything Discovery cannot confirm within 90 days. A small, accurate CMDB is more valuable than a large, inaccurate one.</w:t>
      </w:r>
    </w:p>
    <w:p>
      <w:pPr>
        <w:spacing w:after="160" w:before="0"/>
      </w:pPr>
      <w:r>
        <w:rPr>
          <w:rFonts w:ascii="Calibri" w:hAnsi="Calibri"/>
          <w:color w:val="1A1A1A"/>
          <w:sz w:val="22"/>
        </w:rPr>
        <w:t>Third, narrow MVP scope. Activate 5–8 CI classes at MVP. Add classes in subsequent phases with a governance gate. Every CI class you activate is a data quality commitment — staff it accordingly.</w:t>
      </w:r>
    </w:p>
    <w:p>
      <w:pPr>
        <w:pStyle w:val="Heading1"/>
      </w:pPr>
      <w:r>
        <w:t>Completing This Pack Accurately and On Time</w:t>
      </w:r>
    </w:p>
    <w:p>
      <w:pPr>
        <w:spacing w:after="160" w:before="0"/>
      </w:pPr>
      <w:r>
        <w:rPr>
          <w:rFonts w:ascii="Calibri" w:hAnsi="Calibri"/>
          <w:color w:val="1A1A1A"/>
          <w:sz w:val="22"/>
        </w:rPr>
        <w:t>Completing Workbooks 01–04 accurately before Sprint 2 begins directly determines how much of Sprint 2 is spent on configuration versus data gathering. Workbooks 05 and 06 must be complete before Sprint 3 begins — incident management, problem management, and service request all depend on the service map and CI relationships established in this pack.</w:t>
      </w:r>
    </w:p>
    <w:p>
      <w:pPr>
        <w:spacing w:after="160" w:before="0"/>
      </w:pPr>
      <w:r>
        <w:rPr>
          <w:rFonts w:ascii="Calibri" w:hAnsi="Calibri"/>
          <w:color w:val="1A1A1A"/>
          <w:sz w:val="22"/>
        </w:rPr>
        <w:t>The IT Director or CIO must approve the Business Service list in Workbook 03 before ECS loads any service CIs. This is a governance requirement, not a formality. Service ownership decisions made incorrectly in Sprint 1 propagate through SLA assignment, major incident escalation, and service health alerting for the life of the platform.</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CMDB-CSDM Accelerator Pack · ECS Federal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