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ACCELERATOR PACK</w:t>
      </w:r>
    </w:p>
    <w:p>
      <w:pPr>
        <w:spacing w:before="0" w:after="40"/>
      </w:pPr>
      <w:r>
        <w:rPr>
          <w:rFonts w:ascii="Calibri" w:hAnsi="Calibri"/>
          <w:b/>
          <w:color w:val="0B1F3A"/>
          <w:sz w:val="56"/>
        </w:rPr>
        <w:t>Discovery</w:t>
      </w:r>
    </w:p>
    <w:p>
      <w:pPr>
        <w:spacing w:before="0" w:after="40"/>
      </w:pPr>
      <w:r>
        <w:rPr>
          <w:rFonts w:ascii="Calibri" w:hAnsi="Calibri"/>
          <w:b/>
          <w:color w:val="0B1F3A"/>
          <w:sz w:val="56"/>
        </w:rPr>
        <w:t>Accelerator Pack</w:t>
      </w:r>
    </w:p>
    <w:p>
      <w:pPr>
        <w:spacing w:before="120" w:after="400"/>
      </w:pPr>
      <w:r>
        <w:rPr>
          <w:rFonts w:ascii="Calibri" w:hAnsi="Calibri"/>
          <w:i/>
          <w:color w:val="0D9488"/>
          <w:sz w:val="24"/>
        </w:rPr>
        <w:t>MID Server, Discovery scope, credential management, SGC, and IRE configuration for OOTB-first CMDB population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IT Operations Manager, Infrastructure Lead, and Network/AD Administrators</w:t>
      </w:r>
    </w:p>
    <w:p>
      <w:pPr>
        <w:spacing w:after="40"/>
      </w:pPr>
      <w:r>
        <w:rPr>
          <w:rFonts w:ascii="Calibri" w:hAnsi="Calibri"/>
          <w:b w:val="0"/>
          <w:i w:val="0"/>
          <w:color w:val="475569"/>
          <w:sz w:val="20"/>
        </w:rPr>
        <w:t>Companion to: CMDB-CSDM Accelerator Pack · Integration Accelerator Pack</w:t>
      </w:r>
    </w:p>
    <w:p>
      <w:pPr>
        <w:spacing w:after="80"/>
      </w:pPr>
      <w:r>
        <w:rPr>
          <w:rFonts w:ascii="Calibri" w:hAnsi="Calibri"/>
          <w:b w:val="0"/>
          <w:i w:val="0"/>
          <w:color w:val="475569"/>
          <w:sz w:val="20"/>
        </w:rPr>
        <w:t>Document ID: AP-12     ·     Version: 1.0     ·     Status: Released</w:t>
      </w:r>
    </w:p>
    <w:p>
      <w:pPr>
        <w:spacing w:after="280"/>
      </w:pPr>
      <w:r>
        <w:rPr>
          <w:rFonts w:ascii="Calibri" w:hAnsi="Calibri"/>
          <w:b w:val="0"/>
          <w:i/>
          <w:color w:val="475569"/>
          <w:sz w:val="20"/>
        </w:rPr>
        <w:t>Shared — for the recipient and their organisation</w:t>
      </w:r>
    </w:p>
    <w:p>
      <w:r>
        <w:br w:type="page"/>
      </w:r>
    </w:p>
    <w:p>
      <w:pPr>
        <w:pStyle w:val="Heading1"/>
      </w:pPr>
      <w:r>
        <w:t>What This Pack Is</w:t>
      </w:r>
    </w:p>
    <w:p>
      <w:pPr>
        <w:spacing w:after="160" w:before="0"/>
      </w:pPr>
      <w:r>
        <w:rPr>
          <w:rFonts w:ascii="Calibri" w:hAnsi="Calibri"/>
          <w:color w:val="1A1A1A"/>
          <w:sz w:val="22"/>
        </w:rPr>
        <w:t>This Accelerator Pack covers the complete Discovery and Service Graph Connector configuration for the OOTB-first ServiceNow engagement. Discovery is the automated mechanism that populates and maintains the CMDB — without it, CI data is manual, stale, and untrustworthy within months of go-live.</w:t>
      </w:r>
    </w:p>
    <w:p>
      <w:pPr>
        <w:spacing w:after="160" w:before="0"/>
      </w:pPr>
      <w:r>
        <w:rPr>
          <w:rFonts w:ascii="Calibri" w:hAnsi="Calibri"/>
          <w:color w:val="1A1A1A"/>
          <w:sz w:val="22"/>
        </w:rPr>
        <w:t>The six workbooks address the full Discovery implementation sequence: scope and IP range definition (Workbook 01), MID Server deployment (Workbook 02), credential management (Workbook 03), Discovery schedule and pattern configuration (Workbook 04), SCCM and Intune Service Graph Connector setup (Workbook 05), and the Identification and Reconciliation Engine rules that prevent duplicates (Workbook 06).</w:t>
      </w:r>
    </w:p>
    <w:p>
      <w:pPr>
        <w:pStyle w:val="Heading1"/>
      </w:pPr>
      <w:r>
        <w:t>The Six Workbooks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Covers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Scope &amp; IP Ranges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In-scope subnets, exclusions, phasing strategy, device count estimates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Network Lead</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Wk 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 Configuration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VM sizing, placement, installation, firewall rules, validation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Architect + Customer Infra</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1 Wks 1–2</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Credential Management</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accounts, minimum permissions, Credential Store, rotation plan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Architect + Customer AD/Azure Admin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Wk 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Schedules &amp; Patterns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Schedule configuration, pattern activation, first run validation</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Architect</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Wk 1</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SGC Configuration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SCCM and Intune SGC setup, sync frequency, IRE deduplication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Architect + Customer SCCM/Azure Admin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Wks 1–2</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Reconciliation &amp; IRE Rules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Identification rules, source precedence, auto-relationships, reconciliation review</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Architect</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Wks 1–2</w:t>
            </w:r>
          </w:p>
        </w:tc>
      </w:tr>
    </w:tbl>
    <w:p>
      <w:pPr>
        <w:spacing w:after="40"/>
      </w:pPr>
    </w:p>
    <w:p>
      <w:pPr>
        <w:pStyle w:val="Heading1"/>
      </w:pPr>
      <w:r>
        <w:t>Sprint Alignment</w:t>
      </w:r>
    </w:p>
    <w:p>
      <w:pPr>
        <w:spacing w:after="160" w:before="0"/>
      </w:pPr>
      <w:r>
        <w:rPr>
          <w:rFonts w:ascii="Calibri" w:hAnsi="Calibri"/>
          <w:color w:val="1A1A1A"/>
          <w:sz w:val="22"/>
        </w:rPr>
        <w:t>Discovery spans Sprint 1 (preparation) and Sprint 2 (execution). MID Server and credentials must be ready by the end of Sprint 1 — these are the critical path items. If either is delayed, Sprint 2 Discovery is delayed, which delays the CMDB-CSDM relationship mapping and the service impact analysis capability.</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Discovery Accelerator Pack · ECS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