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095500" cy="3905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w:pPr>
        <w:spacing w:after="240" w:before="1800"/>
      </w:pPr>
      <w:r>
        <w:rPr>
          <w:rFonts w:ascii="Calibri" w:cs="Calibri" w:eastAsia="Calibri" w:hAnsi="Calibri"/>
          <w:b/>
          <w:bCs/>
          <w:color w:val="14B8A6"/>
          <w:spacing w:val="80"/>
          <w:sz w:val="18"/>
          <w:szCs w:val="18"/>
        </w:rPr>
        <w:t xml:space="preserve">ACCELERATOR PACK</w:t>
      </w:r>
    </w:p>
    <w:p>
      <w:pPr>
        <w:spacing w:after="120"/>
      </w:pPr>
      <w:r>
        <w:rPr>
          <w:rFonts w:ascii="Calibri" w:cs="Calibri" w:eastAsia="Calibri" w:hAnsi="Calibri"/>
          <w:b/>
          <w:bCs/>
          <w:color w:val="0B1F3A"/>
          <w:sz w:val="56"/>
          <w:szCs w:val="56"/>
        </w:rPr>
        <w:t xml:space="preserve">ITSM Process</w:t>
      </w:r>
    </w:p>
    <w:p>
      <w:pPr>
        <w:spacing w:after="120"/>
      </w:pPr>
      <w:r>
        <w:rPr>
          <w:rFonts w:ascii="Calibri" w:cs="Calibri" w:eastAsia="Calibri" w:hAnsi="Calibri"/>
          <w:b/>
          <w:bCs/>
          <w:color w:val="0B1F3A"/>
          <w:sz w:val="56"/>
          <w:szCs w:val="56"/>
        </w:rPr>
        <w:t xml:space="preserve">Accelerator Pack — README</w:t>
      </w:r>
    </w:p>
    <w:p>
      <w:pPr>
        <w:spacing w:after="480"/>
      </w:pPr>
      <w:r>
        <w:rPr>
          <w:rFonts w:ascii="Calibri" w:cs="Calibri" w:eastAsia="Calibri" w:hAnsi="Calibri"/>
          <w:i/>
          <w:iCs/>
          <w:color w:val="0D9488"/>
          <w:sz w:val="24"/>
          <w:szCs w:val="24"/>
        </w:rPr>
        <w:t xml:space="preserve">Six process workbooks: Incident, Major Incident, Problem, Change/CAB, Service Request, Knowledge. Decisions, configuration, and pushback language to keep delivery on the OOTB pattern.</w:t>
      </w:r>
    </w:p>
    <w:p>
      <w:pPr>
        <w:pBdr>
          <w:bottom w:val="single" w:color="14B8A6" w:sz="12" w:space="1"/>
        </w:pBdr>
      </w:pPr>
      <w:r>
        <w:t xml:space="preserve"/>
      </w:r>
    </w:p>
    <w:p>
      <w:pPr>
        <w:spacing w:after="60" w:before="200"/>
      </w:pPr>
      <w:r>
        <w:rPr>
          <w:rFonts w:ascii="Calibri" w:cs="Calibri" w:eastAsia="Calibri" w:hAnsi="Calibri"/>
          <w:i w:val="false"/>
          <w:iCs w:val="false"/>
          <w:color w:val="1E293B"/>
          <w:sz w:val="22"/>
          <w:szCs w:val="22"/>
        </w:rPr>
        <w:t xml:space="preserve">ECS Federal  ·  ServiceNow Practice</w:t>
      </w:r>
    </w:p>
    <w:p>
      <w:pPr>
        <w:spacing w:after="60" w:before="0"/>
      </w:pPr>
      <w:r>
        <w:rPr>
          <w:rFonts w:ascii="Calibri" w:cs="Calibri" w:eastAsia="Calibri" w:hAnsi="Calibri"/>
          <w:i w:val="false"/>
          <w:iCs w:val="false"/>
          <w:color w:val="1E293B"/>
          <w:sz w:val="22"/>
          <w:szCs w:val="22"/>
        </w:rPr>
        <w:t xml:space="preserve">Recipient: Customer process owners and Solution Architect on the engagement</w:t>
      </w:r>
    </w:p>
    <w:p>
      <w:pPr>
        <w:spacing w:after="60" w:before="0"/>
      </w:pPr>
      <w:r>
        <w:rPr>
          <w:rFonts w:ascii="Calibri" w:cs="Calibri" w:eastAsia="Calibri" w:hAnsi="Calibri"/>
          <w:i/>
          <w:iCs/>
          <w:color w:val="475569"/>
          <w:sz w:val="18"/>
          <w:szCs w:val="18"/>
        </w:rPr>
        <w:t xml:space="preserve">Confidential — for the recipient and their organization</w:t>
      </w:r>
    </w:p>
    <w:p>
      <w:pPr>
        <w:sectPr>
          <w:pgSz w:w="12240" w:h="15840" w:orient="portrait"/>
          <w:pgMar w:top="1440" w:right="1440" w:bottom="1440" w:left="1440" w:header="708" w:footer="708" w:gutter="0"/>
          <w:pgNumType/>
          <w:titlePg/>
          <w:docGrid w:linePitch="360"/>
        </w:sectPr>
      </w:pPr>
    </w:p>
    <w:p>
      <w:pPr>
        <w:pStyle w:val="Heading1"/>
        <w:spacing w:after="180" w:before="360"/>
      </w:pPr>
      <w:r>
        <w:rPr>
          <w:rFonts w:ascii="Calibri" w:cs="Calibri" w:eastAsia="Calibri" w:hAnsi="Calibri"/>
          <w:b/>
          <w:bCs/>
          <w:color w:val="0B1F3A"/>
          <w:sz w:val="32"/>
          <w:szCs w:val="32"/>
        </w:rPr>
        <w:t xml:space="preserve">What This Pack Is</w:t>
      </w:r>
    </w:p>
    <w:p>
      <w:pPr>
        <w:spacing w:after="120"/>
      </w:pPr>
      <w:r>
        <w:rPr>
          <w:rFonts w:ascii="Calibri" w:cs="Calibri" w:eastAsia="Calibri" w:hAnsi="Calibri"/>
          <w:color w:val="1E293B"/>
          <w:sz w:val="22"/>
          <w:szCs w:val="22"/>
        </w:rPr>
        <w:t xml:space="preserve">This Accelerator Pack contains six workbooks for the core ITSM processes — Incident, Major Incident, Problem, Change with CAB, Service Request, and Knowledge. Each workbook captures the decisions a process owner needs to make collectively with the engagement team to keep the process aligned to OOTB ServiceNow rather than re-engineered to match legacy patterns.</w:t>
      </w:r>
    </w:p>
    <w:p>
      <w:pPr>
        <w:spacing w:after="120"/>
      </w:pPr>
      <w:r>
        <w:rPr>
          <w:rFonts w:ascii="Calibri" w:cs="Calibri" w:eastAsia="Calibri" w:hAnsi="Calibri"/>
          <w:color w:val="1E293B"/>
          <w:sz w:val="22"/>
          <w:szCs w:val="22"/>
        </w:rPr>
        <w:t xml:space="preserve">This Pack ships alongside the Foundation Data Pack and the Integration Accelerator Pack. Foundation Data captures the static base population; Integration Pack captures the data-flow pipelines; ITSM Process Pack captures the process configuration. All three are needed for a clean Phase 1 build.</w:t>
      </w:r>
    </w:p>
    <w:p>
      <w:pPr>
        <w:pStyle w:val="Heading1"/>
        <w:spacing w:after="180" w:before="360"/>
      </w:pPr>
      <w:r>
        <w:rPr>
          <w:rFonts w:ascii="Calibri" w:cs="Calibri" w:eastAsia="Calibri" w:hAnsi="Calibri"/>
          <w:b/>
          <w:bCs/>
          <w:color w:val="0B1F3A"/>
          <w:sz w:val="32"/>
          <w:szCs w:val="32"/>
        </w:rPr>
        <w:t xml:space="preserve">The Six Workbooks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3240"/>
        <w:gridCol w:w="23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Process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Customer Owner</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When</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01</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Incident Management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Service Desk Manager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Decisions Sprint 1; build Sprint 3</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02</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Major Incident Management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MIM Process Owner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Decisions Sprint 1; build Sprint 4</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03</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Problem Management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Problem Manager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Decisions Sprint 1; build Sprint 4</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04</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Change Management &amp; CAB</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Change Manager + CAB Chair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Decisions Sprint 1-2; build Sprint 3-4</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05</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Service Request Management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Service Catalog Owner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Decisions Sprint 1; build Sprint 3-4</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06</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Knowledge Management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Knowledge Manager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Decisions Sprint 1; build Sprint 5</w:t>
            </w:r>
          </w:p>
        </w:tc>
      </w:tr>
    </w:tbl>
    <w:p>
      <w:pPr>
        <w:spacing w:after="120"/>
      </w:pPr>
      <w:r>
        <w:rPr>
          <w:rFonts w:ascii="Calibri" w:cs="Calibri" w:eastAsia="Calibri" w:hAnsi="Calibri"/>
          <w:color w:val="1E293B"/>
          <w:sz w:val="22"/>
          <w:szCs w:val="22"/>
        </w:rPr>
        <w:t xml:space="preserve">Each workbook contains eight tabs: Instructions (start here), Process Decisions (the choices that drive everything), Dependencies (other Packs/data needed first), Configuration Data (the OOTB-aligned settings the consultant will build), R&amp;R (RACI matrix), Consultant Guide (internal reference for the developer doing the SN updates — you can ignore this), Adoption vs Re-engineering (the pushback tab), and ServiceNow Mapping (internal reference).</w:t>
      </w:r>
    </w:p>
    <w:p>
      <w:pPr>
        <w:pStyle w:val="Heading1"/>
        <w:spacing w:after="180" w:before="360"/>
      </w:pPr>
      <w:r>
        <w:rPr>
          <w:rFonts w:ascii="Calibri" w:cs="Calibri" w:eastAsia="Calibri" w:hAnsi="Calibri"/>
          <w:b/>
          <w:bCs/>
          <w:color w:val="0B1F3A"/>
          <w:sz w:val="32"/>
          <w:szCs w:val="32"/>
        </w:rPr>
        <w:t xml:space="preserve">The Differentiator: Adoption vs Re-engineering Tab</w:t>
      </w:r>
    </w:p>
    <w:p>
      <w:pPr>
        <w:spacing w:after="120"/>
      </w:pPr>
      <w:r>
        <w:rPr>
          <w:rFonts w:ascii="Calibri" w:cs="Calibri" w:eastAsia="Calibri" w:hAnsi="Calibri"/>
          <w:color w:val="1E293B"/>
          <w:sz w:val="22"/>
          <w:szCs w:val="22"/>
        </w:rPr>
        <w:t xml:space="preserve">Each workbook contains an Adoption vs Re-engineering tab — the new tab built specifically for the conversations the consultant will have with the customer when legacy patterns surface. Each row captures a typical customer ask ("we need 7 priority levels," "custom RCA template," "manual approval routing") and provides:</w:t>
      </w:r>
    </w:p>
    <w:p>
      <w:pPr>
        <w:pStyle w:val="ListParagraph"/>
        <w:numPr>
          <w:ilvl w:val="0"/>
          <w:numId w:val="2"/>
        </w:numPr>
        <w:spacing w:after="60"/>
      </w:pPr>
      <w:r>
        <w:rPr>
          <w:rFonts w:ascii="Calibri" w:cs="Calibri" w:eastAsia="Calibri" w:hAnsi="Calibri"/>
          <w:color w:val="1E293B"/>
          <w:sz w:val="22"/>
          <w:szCs w:val="22"/>
        </w:rPr>
        <w:t xml:space="preserve">The OOTB pattern that addresses the underlying need.</w:t>
      </w:r>
    </w:p>
    <w:p>
      <w:pPr>
        <w:pStyle w:val="ListParagraph"/>
        <w:numPr>
          <w:ilvl w:val="0"/>
          <w:numId w:val="2"/>
        </w:numPr>
        <w:spacing w:after="60"/>
      </w:pPr>
      <w:r>
        <w:rPr>
          <w:rFonts w:ascii="Calibri" w:cs="Calibri" w:eastAsia="Calibri" w:hAnsi="Calibri"/>
          <w:color w:val="1E293B"/>
          <w:sz w:val="22"/>
          <w:szCs w:val="22"/>
        </w:rPr>
        <w:t xml:space="preserve">Why OOTB wins (the operational reason — not just "because OOTB-first.")</w:t>
      </w:r>
    </w:p>
    <w:p>
      <w:pPr>
        <w:pStyle w:val="ListParagraph"/>
        <w:numPr>
          <w:ilvl w:val="0"/>
          <w:numId w:val="2"/>
        </w:numPr>
        <w:spacing w:after="60"/>
      </w:pPr>
      <w:r>
        <w:rPr>
          <w:rFonts w:ascii="Calibri" w:cs="Calibri" w:eastAsia="Calibri" w:hAnsi="Calibri"/>
          <w:color w:val="1E293B"/>
          <w:sz w:val="22"/>
          <w:szCs w:val="22"/>
        </w:rPr>
        <w:t xml:space="preserve">Suggested pushback language — verbatim talking points the consultant can use in workshop.</w:t>
      </w:r>
    </w:p>
    <w:p>
      <w:pPr>
        <w:pStyle w:val="ListParagraph"/>
        <w:numPr>
          <w:ilvl w:val="0"/>
          <w:numId w:val="2"/>
        </w:numPr>
        <w:spacing w:after="60"/>
      </w:pPr>
      <w:r>
        <w:rPr>
          <w:rFonts w:ascii="Calibri" w:cs="Calibri" w:eastAsia="Calibri" w:hAnsi="Calibri"/>
          <w:color w:val="1E293B"/>
          <w:sz w:val="22"/>
          <w:szCs w:val="22"/>
        </w:rPr>
        <w:t xml:space="preserve">When to customize anyway — the rare scenarios where the customer ask is genuinely outside OOTB.</w:t>
      </w:r>
    </w:p>
    <w:p>
      <w:pPr>
        <w:spacing w:after="120"/>
      </w:pPr>
      <w:r>
        <w:rPr>
          <w:rFonts w:ascii="Calibri" w:cs="Calibri" w:eastAsia="Calibri" w:hAnsi="Calibri"/>
          <w:color w:val="1E293B"/>
          <w:sz w:val="22"/>
          <w:szCs w:val="22"/>
        </w:rPr>
        <w:t xml:space="preserve">This tab is the consultant's working tool. When the customer says "but our old system did X," the Solution Architect or Process Consultant opens the Adoption vs Re-engineering tab, finds the row matching the request, and uses the language to redirect the conversation toward OOTB without making the customer feel dismissed.</w:t>
      </w:r>
    </w:p>
    <w:p>
      <w:pPr>
        <w:pStyle w:val="Heading1"/>
        <w:spacing w:after="180" w:before="360"/>
      </w:pPr>
      <w:r>
        <w:rPr>
          <w:rFonts w:ascii="Calibri" w:cs="Calibri" w:eastAsia="Calibri" w:hAnsi="Calibri"/>
          <w:b/>
          <w:bCs/>
          <w:color w:val="0B1F3A"/>
          <w:sz w:val="32"/>
          <w:szCs w:val="32"/>
        </w:rPr>
        <w:t xml:space="preserve">How to Fill Out a Workbook</w:t>
      </w:r>
    </w:p>
    <w:p>
      <w:pPr>
        <w:pStyle w:val="ListParagraph"/>
        <w:numPr>
          <w:ilvl w:val="0"/>
          <w:numId w:val="3"/>
        </w:numPr>
        <w:spacing w:after="60"/>
      </w:pPr>
      <w:r>
        <w:rPr>
          <w:rFonts w:ascii="Calibri" w:cs="Calibri" w:eastAsia="Calibri" w:hAnsi="Calibri"/>
          <w:color w:val="1E293B"/>
          <w:sz w:val="22"/>
          <w:szCs w:val="22"/>
        </w:rPr>
        <w:t xml:space="preserve">Open the workbook. Read the Instructions tab end-to-end.</w:t>
      </w:r>
    </w:p>
    <w:p>
      <w:pPr>
        <w:pStyle w:val="ListParagraph"/>
        <w:numPr>
          <w:ilvl w:val="0"/>
          <w:numId w:val="3"/>
        </w:numPr>
        <w:spacing w:after="60"/>
      </w:pPr>
      <w:r>
        <w:rPr>
          <w:rFonts w:ascii="Calibri" w:cs="Calibri" w:eastAsia="Calibri" w:hAnsi="Calibri"/>
          <w:color w:val="1E293B"/>
          <w:sz w:val="22"/>
          <w:szCs w:val="22"/>
        </w:rPr>
        <w:t xml:space="preserve">Move to Process Decisions. ECS recommendations (yellow-shaded green column) are pre-populated based on OOTB best practice. Customer fills the Customer Decision column — confirming the recommendation or proposing an alternative with rationale.</w:t>
      </w:r>
    </w:p>
    <w:p>
      <w:pPr>
        <w:pStyle w:val="ListParagraph"/>
        <w:numPr>
          <w:ilvl w:val="0"/>
          <w:numId w:val="3"/>
        </w:numPr>
        <w:spacing w:after="60"/>
      </w:pPr>
      <w:r>
        <w:rPr>
          <w:rFonts w:ascii="Calibri" w:cs="Calibri" w:eastAsia="Calibri" w:hAnsi="Calibri"/>
          <w:color w:val="1E293B"/>
          <w:sz w:val="22"/>
          <w:szCs w:val="22"/>
        </w:rPr>
        <w:t xml:space="preserve">Verify Dependencies — every prerequisite must be in place before configuration can begin.</w:t>
      </w:r>
    </w:p>
    <w:p>
      <w:pPr>
        <w:pStyle w:val="ListParagraph"/>
        <w:numPr>
          <w:ilvl w:val="0"/>
          <w:numId w:val="3"/>
        </w:numPr>
        <w:spacing w:after="60"/>
      </w:pPr>
      <w:r>
        <w:rPr>
          <w:rFonts w:ascii="Calibri" w:cs="Calibri" w:eastAsia="Calibri" w:hAnsi="Calibri"/>
          <w:color w:val="1E293B"/>
          <w:sz w:val="22"/>
          <w:szCs w:val="22"/>
        </w:rPr>
        <w:t xml:space="preserve">Configuration Data is the consultant's build sheet. Customer reviews; consultant uses to build in ServiceNow.</w:t>
      </w:r>
    </w:p>
    <w:p>
      <w:pPr>
        <w:pStyle w:val="ListParagraph"/>
        <w:numPr>
          <w:ilvl w:val="0"/>
          <w:numId w:val="3"/>
        </w:numPr>
        <w:spacing w:after="60"/>
      </w:pPr>
      <w:r>
        <w:rPr>
          <w:rFonts w:ascii="Calibri" w:cs="Calibri" w:eastAsia="Calibri" w:hAnsi="Calibri"/>
          <w:color w:val="1E293B"/>
          <w:sz w:val="22"/>
          <w:szCs w:val="22"/>
        </w:rPr>
        <w:t xml:space="preserve">R&amp;R confirms ownership. Read for understanding; flag disagreements.</w:t>
      </w:r>
    </w:p>
    <w:p>
      <w:pPr>
        <w:pStyle w:val="ListParagraph"/>
        <w:numPr>
          <w:ilvl w:val="0"/>
          <w:numId w:val="3"/>
        </w:numPr>
        <w:spacing w:after="60"/>
      </w:pPr>
      <w:r>
        <w:rPr>
          <w:rFonts w:ascii="Calibri" w:cs="Calibri" w:eastAsia="Calibri" w:hAnsi="Calibri"/>
          <w:color w:val="1E293B"/>
          <w:sz w:val="22"/>
          <w:szCs w:val="22"/>
        </w:rPr>
        <w:t xml:space="preserve">Consultant Guide is internal reference for the developer — Customer can skip.</w:t>
      </w:r>
    </w:p>
    <w:p>
      <w:pPr>
        <w:pStyle w:val="ListParagraph"/>
        <w:numPr>
          <w:ilvl w:val="0"/>
          <w:numId w:val="3"/>
        </w:numPr>
        <w:spacing w:after="60"/>
      </w:pPr>
      <w:r>
        <w:rPr>
          <w:rFonts w:ascii="Calibri" w:cs="Calibri" w:eastAsia="Calibri" w:hAnsi="Calibri"/>
          <w:color w:val="1E293B"/>
          <w:sz w:val="22"/>
          <w:szCs w:val="22"/>
        </w:rPr>
        <w:t xml:space="preserve">Adoption vs Re-engineering is the pushback library — Customer can read for context, but it's primarily for the consultant during workshops.</w:t>
      </w:r>
    </w:p>
    <w:p>
      <w:pPr>
        <w:pStyle w:val="ListParagraph"/>
        <w:numPr>
          <w:ilvl w:val="0"/>
          <w:numId w:val="3"/>
        </w:numPr>
        <w:spacing w:after="60"/>
      </w:pPr>
      <w:r>
        <w:rPr>
          <w:rFonts w:ascii="Calibri" w:cs="Calibri" w:eastAsia="Calibri" w:hAnsi="Calibri"/>
          <w:color w:val="1E293B"/>
          <w:sz w:val="22"/>
          <w:szCs w:val="22"/>
        </w:rPr>
        <w:t xml:space="preserve">Do not add or remove tabs. Do not rename column headers. The structure must match the configuration pipeline.</w:t>
      </w:r>
    </w:p>
    <w:p>
      <w:pPr>
        <w:pStyle w:val="Heading1"/>
        <w:spacing w:after="180" w:before="360"/>
      </w:pPr>
      <w:r>
        <w:rPr>
          <w:rFonts w:ascii="Calibri" w:cs="Calibri" w:eastAsia="Calibri" w:hAnsi="Calibri"/>
          <w:b/>
          <w:bCs/>
          <w:color w:val="0B1F3A"/>
          <w:sz w:val="32"/>
          <w:szCs w:val="32"/>
        </w:rPr>
        <w:t xml:space="preserve">Order of Completion</w:t>
      </w:r>
    </w:p>
    <w:p>
      <w:pPr>
        <w:spacing w:after="120"/>
      </w:pPr>
      <w:r>
        <w:rPr>
          <w:rFonts w:ascii="Calibri" w:cs="Calibri" w:eastAsia="Calibri" w:hAnsi="Calibri"/>
          <w:color w:val="1E293B"/>
          <w:sz w:val="22"/>
          <w:szCs w:val="22"/>
        </w:rPr>
        <w:t xml:space="preserve">ITSM processes have dependencies. The order below sequences workshops and configuration to honor them.</w:t>
      </w:r>
    </w:p>
    <w:p>
      <w:pPr>
        <w:pStyle w:val="ListParagraph"/>
        <w:numPr>
          <w:ilvl w:val="0"/>
          <w:numId w:val="3"/>
        </w:numPr>
        <w:spacing w:after="60"/>
      </w:pPr>
      <w:r>
        <w:rPr>
          <w:rFonts w:ascii="Calibri" w:cs="Calibri" w:eastAsia="Calibri" w:hAnsi="Calibri"/>
          <w:color w:val="1E293B"/>
          <w:sz w:val="22"/>
          <w:szCs w:val="22"/>
        </w:rPr>
        <w:t xml:space="preserve">Process Decisions for ALL six workbooks during Sprint 1 — these are short workshops (60-90 min each) that converge in the same week.</w:t>
      </w:r>
    </w:p>
    <w:p>
      <w:pPr>
        <w:pStyle w:val="ListParagraph"/>
        <w:numPr>
          <w:ilvl w:val="0"/>
          <w:numId w:val="3"/>
        </w:numPr>
        <w:spacing w:after="60"/>
      </w:pPr>
      <w:r>
        <w:rPr>
          <w:rFonts w:ascii="Calibri" w:cs="Calibri" w:eastAsia="Calibri" w:hAnsi="Calibri"/>
          <w:color w:val="1E293B"/>
          <w:sz w:val="22"/>
          <w:szCs w:val="22"/>
        </w:rPr>
        <w:t xml:space="preserve">Incident Management (01) — foundation for everything else; configured first in Sprint 3.</w:t>
      </w:r>
    </w:p>
    <w:p>
      <w:pPr>
        <w:pStyle w:val="ListParagraph"/>
        <w:numPr>
          <w:ilvl w:val="0"/>
          <w:numId w:val="3"/>
        </w:numPr>
        <w:spacing w:after="60"/>
      </w:pPr>
      <w:r>
        <w:rPr>
          <w:rFonts w:ascii="Calibri" w:cs="Calibri" w:eastAsia="Calibri" w:hAnsi="Calibri"/>
          <w:color w:val="1E293B"/>
          <w:sz w:val="22"/>
          <w:szCs w:val="22"/>
        </w:rPr>
        <w:t xml:space="preserve">Service Request Management (05) — depends on catalog inventory from Foundation Pack; configured Sprint 3-4.</w:t>
      </w:r>
    </w:p>
    <w:p>
      <w:pPr>
        <w:pStyle w:val="ListParagraph"/>
        <w:numPr>
          <w:ilvl w:val="0"/>
          <w:numId w:val="3"/>
        </w:numPr>
        <w:spacing w:after="60"/>
      </w:pPr>
      <w:r>
        <w:rPr>
          <w:rFonts w:ascii="Calibri" w:cs="Calibri" w:eastAsia="Calibri" w:hAnsi="Calibri"/>
          <w:color w:val="1E293B"/>
          <w:sz w:val="22"/>
          <w:szCs w:val="22"/>
        </w:rPr>
        <w:t xml:space="preserve">Change Management &amp; CAB (04) — depends on CSDM and Foundation Schedules; configured Sprint 3-4.</w:t>
      </w:r>
    </w:p>
    <w:p>
      <w:pPr>
        <w:pStyle w:val="ListParagraph"/>
        <w:numPr>
          <w:ilvl w:val="0"/>
          <w:numId w:val="3"/>
        </w:numPr>
        <w:spacing w:after="60"/>
      </w:pPr>
      <w:r>
        <w:rPr>
          <w:rFonts w:ascii="Calibri" w:cs="Calibri" w:eastAsia="Calibri" w:hAnsi="Calibri"/>
          <w:color w:val="1E293B"/>
          <w:sz w:val="22"/>
          <w:szCs w:val="22"/>
        </w:rPr>
        <w:t xml:space="preserve">Major Incident Management (02) — depends on Incident; configured Sprint 4.</w:t>
      </w:r>
    </w:p>
    <w:p>
      <w:pPr>
        <w:pStyle w:val="ListParagraph"/>
        <w:numPr>
          <w:ilvl w:val="0"/>
          <w:numId w:val="3"/>
        </w:numPr>
        <w:spacing w:after="60"/>
      </w:pPr>
      <w:r>
        <w:rPr>
          <w:rFonts w:ascii="Calibri" w:cs="Calibri" w:eastAsia="Calibri" w:hAnsi="Calibri"/>
          <w:color w:val="1E293B"/>
          <w:sz w:val="22"/>
          <w:szCs w:val="22"/>
        </w:rPr>
        <w:t xml:space="preserve">Problem Management (03) — depends on Incident and Predictive Intelligence baseline; configured Sprint 4.</w:t>
      </w:r>
    </w:p>
    <w:p>
      <w:pPr>
        <w:pStyle w:val="ListParagraph"/>
        <w:numPr>
          <w:ilvl w:val="0"/>
          <w:numId w:val="3"/>
        </w:numPr>
        <w:spacing w:after="60"/>
      </w:pPr>
      <w:r>
        <w:rPr>
          <w:rFonts w:ascii="Calibri" w:cs="Calibri" w:eastAsia="Calibri" w:hAnsi="Calibri"/>
          <w:color w:val="1E293B"/>
          <w:sz w:val="22"/>
          <w:szCs w:val="22"/>
        </w:rPr>
        <w:t xml:space="preserve">Knowledge Management (06) — depends on Employee Center configured (Sprint 5); curation is the longest pole.</w:t>
      </w:r>
    </w:p>
    <w:p>
      <w:pPr>
        <w:pStyle w:val="Heading1"/>
        <w:spacing w:after="180" w:before="360"/>
      </w:pPr>
      <w:r>
        <w:rPr>
          <w:rFonts w:ascii="Calibri" w:cs="Calibri" w:eastAsia="Calibri" w:hAnsi="Calibri"/>
          <w:b/>
          <w:bCs/>
          <w:color w:val="0B1F3A"/>
          <w:sz w:val="32"/>
          <w:szCs w:val="32"/>
        </w:rPr>
        <w:t xml:space="preserve">The Process Decisions Approach</w:t>
      </w:r>
    </w:p>
    <w:p>
      <w:pPr>
        <w:spacing w:after="120"/>
      </w:pPr>
      <w:r>
        <w:rPr>
          <w:rFonts w:ascii="Calibri" w:cs="Calibri" w:eastAsia="Calibri" w:hAnsi="Calibri"/>
          <w:color w:val="1E293B"/>
          <w:sz w:val="22"/>
          <w:szCs w:val="22"/>
        </w:rPr>
        <w:t xml:space="preserve">Process Decisions is the most important tab in each workbook. It is structured so the customer can either confirm the OOTB recommendation or propose an alternative. The point is to force a definitive decision, in a workshop, with rationale.</w:t>
      </w:r>
    </w:p>
    <w:p>
      <w:pPr>
        <w:spacing w:after="120"/>
      </w:pPr>
      <w:r>
        <w:rPr>
          <w:rFonts w:ascii="Calibri" w:cs="Calibri" w:eastAsia="Calibri" w:hAnsi="Calibri"/>
          <w:color w:val="1E293B"/>
          <w:sz w:val="22"/>
          <w:szCs w:val="22"/>
        </w:rPr>
        <w:t xml:space="preserve">ECS recommendations in the green column reflect OOTB ServiceNow best practice — what the platform was designed to do. Most customers confirm 80% or more of the recommendations as-is. The remaining 20% become the focused conversation: what is the business need that requires deviating from OOTB, and is the deviation worth the maintenance burden it creates?</w:t>
      </w:r>
    </w:p>
    <w:p>
      <w:pPr>
        <w:spacing w:after="120"/>
      </w:pPr>
      <w:r>
        <w:rPr>
          <w:rFonts w:ascii="Calibri" w:cs="Calibri" w:eastAsia="Calibri" w:hAnsi="Calibri"/>
          <w:color w:val="1E293B"/>
          <w:sz w:val="22"/>
          <w:szCs w:val="22"/>
        </w:rPr>
        <w:t xml:space="preserve">Decisions that propose deviation from OOTB are documented in the Customer Decision column with rationale. They become inputs to the Governance Board (per the Governance Charter) — not all proposed deviations are approved; the two-key model evaluates each.</w:t>
      </w:r>
    </w:p>
    <w:p>
      <w:pPr>
        <w:pStyle w:val="Heading1"/>
        <w:spacing w:after="180" w:before="360"/>
      </w:pPr>
      <w:r>
        <w:rPr>
          <w:rFonts w:ascii="Calibri" w:cs="Calibri" w:eastAsia="Calibri" w:hAnsi="Calibri"/>
          <w:b/>
          <w:bCs/>
          <w:color w:val="0B1F3A"/>
          <w:sz w:val="32"/>
          <w:szCs w:val="32"/>
        </w:rPr>
        <w:t xml:space="preserve">Submission and Workshop Cadence</w:t>
      </w:r>
    </w:p>
    <w:p>
      <w:pPr>
        <w:pStyle w:val="ListParagraph"/>
        <w:numPr>
          <w:ilvl w:val="0"/>
          <w:numId w:val="3"/>
        </w:numPr>
        <w:spacing w:after="60"/>
      </w:pPr>
      <w:r>
        <w:rPr>
          <w:rFonts w:ascii="Calibri" w:cs="Calibri" w:eastAsia="Calibri" w:hAnsi="Calibri"/>
          <w:color w:val="1E293B"/>
          <w:sz w:val="22"/>
          <w:szCs w:val="22"/>
        </w:rPr>
        <w:t xml:space="preserve">Customer-side process owner reviews the workbook in advance of the Process OOTB Alignment workshop.</w:t>
      </w:r>
    </w:p>
    <w:p>
      <w:pPr>
        <w:pStyle w:val="ListParagraph"/>
        <w:numPr>
          <w:ilvl w:val="0"/>
          <w:numId w:val="3"/>
        </w:numPr>
        <w:spacing w:after="60"/>
      </w:pPr>
      <w:r>
        <w:rPr>
          <w:rFonts w:ascii="Calibri" w:cs="Calibri" w:eastAsia="Calibri" w:hAnsi="Calibri"/>
          <w:color w:val="1E293B"/>
          <w:sz w:val="22"/>
          <w:szCs w:val="22"/>
        </w:rPr>
        <w:t xml:space="preserve">ECS facilitates the Process OOTB Alignment workshop — typically 90 min per process. The Process Decisions tab is the agenda.</w:t>
      </w:r>
    </w:p>
    <w:p>
      <w:pPr>
        <w:pStyle w:val="ListParagraph"/>
        <w:numPr>
          <w:ilvl w:val="0"/>
          <w:numId w:val="3"/>
        </w:numPr>
        <w:spacing w:after="60"/>
      </w:pPr>
      <w:r>
        <w:rPr>
          <w:rFonts w:ascii="Calibri" w:cs="Calibri" w:eastAsia="Calibri" w:hAnsi="Calibri"/>
          <w:color w:val="1E293B"/>
          <w:sz w:val="22"/>
          <w:szCs w:val="22"/>
        </w:rPr>
        <w:t xml:space="preserve">During the workshop, ECS demonstrates the OOTB pattern; customer confirms recommendations or surfaces deviation rationale; consultant uses the Adoption vs Re-engineering tab to handle pushback.</w:t>
      </w:r>
    </w:p>
    <w:p>
      <w:pPr>
        <w:pStyle w:val="ListParagraph"/>
        <w:numPr>
          <w:ilvl w:val="0"/>
          <w:numId w:val="3"/>
        </w:numPr>
        <w:spacing w:after="60"/>
      </w:pPr>
      <w:r>
        <w:rPr>
          <w:rFonts w:ascii="Calibri" w:cs="Calibri" w:eastAsia="Calibri" w:hAnsi="Calibri"/>
          <w:color w:val="1E293B"/>
          <w:sz w:val="22"/>
          <w:szCs w:val="22"/>
        </w:rPr>
        <w:t xml:space="preserve">Workshop ends with Process Decisions tab fully populated and signed off. No "action items."</w:t>
      </w:r>
    </w:p>
    <w:p>
      <w:pPr>
        <w:pStyle w:val="ListParagraph"/>
        <w:numPr>
          <w:ilvl w:val="0"/>
          <w:numId w:val="3"/>
        </w:numPr>
        <w:spacing w:after="60"/>
      </w:pPr>
      <w:r>
        <w:rPr>
          <w:rFonts w:ascii="Calibri" w:cs="Calibri" w:eastAsia="Calibri" w:hAnsi="Calibri"/>
          <w:color w:val="1E293B"/>
          <w:sz w:val="22"/>
          <w:szCs w:val="22"/>
        </w:rPr>
        <w:t xml:space="preserve">Post-workshop: ECS Solution Architect uses Configuration Data tab to build in sub-prod; Customer validates.</w:t>
      </w:r>
    </w:p>
    <w:p>
      <w:pPr>
        <w:pStyle w:val="Heading1"/>
        <w:spacing w:after="180" w:before="360"/>
      </w:pPr>
      <w:r>
        <w:rPr>
          <w:rFonts w:ascii="Calibri" w:cs="Calibri" w:eastAsia="Calibri" w:hAnsi="Calibri"/>
          <w:b/>
          <w:bCs/>
          <w:color w:val="0B1F3A"/>
          <w:sz w:val="32"/>
          <w:szCs w:val="32"/>
        </w:rPr>
        <w:t xml:space="preserve">What Good Looks Like</w:t>
      </w:r>
    </w:p>
    <w:p>
      <w:pPr>
        <w:spacing w:after="120"/>
      </w:pPr>
      <w:r>
        <w:rPr>
          <w:rFonts w:ascii="Calibri" w:cs="Calibri" w:eastAsia="Calibri" w:hAnsi="Calibri"/>
          <w:color w:val="1E293B"/>
          <w:sz w:val="22"/>
          <w:szCs w:val="22"/>
        </w:rPr>
        <w:t xml:space="preserve">A successful Process Decisions workshop ends with:</w:t>
      </w:r>
    </w:p>
    <w:p>
      <w:pPr>
        <w:pStyle w:val="ListParagraph"/>
        <w:numPr>
          <w:ilvl w:val="0"/>
          <w:numId w:val="2"/>
        </w:numPr>
        <w:spacing w:after="60"/>
      </w:pPr>
      <w:r>
        <w:rPr>
          <w:rFonts w:ascii="Calibri" w:cs="Calibri" w:eastAsia="Calibri" w:hAnsi="Calibri"/>
          <w:color w:val="1E293B"/>
          <w:sz w:val="22"/>
          <w:szCs w:val="22"/>
        </w:rPr>
        <w:t xml:space="preserve">Every Process Decisions row populated with a customer-confirmed value — not blank, not "we'll think about it."</w:t>
      </w:r>
    </w:p>
    <w:p>
      <w:pPr>
        <w:pStyle w:val="ListParagraph"/>
        <w:numPr>
          <w:ilvl w:val="0"/>
          <w:numId w:val="2"/>
        </w:numPr>
        <w:spacing w:after="60"/>
      </w:pPr>
      <w:r>
        <w:rPr>
          <w:rFonts w:ascii="Calibri" w:cs="Calibri" w:eastAsia="Calibri" w:hAnsi="Calibri"/>
          <w:color w:val="1E293B"/>
          <w:sz w:val="22"/>
          <w:szCs w:val="22"/>
        </w:rPr>
        <w:t xml:space="preserve">Deviations from OOTB recommendations have clear rationale and are routed to the Governance Board.</w:t>
      </w:r>
    </w:p>
    <w:p>
      <w:pPr>
        <w:pStyle w:val="ListParagraph"/>
        <w:numPr>
          <w:ilvl w:val="0"/>
          <w:numId w:val="2"/>
        </w:numPr>
        <w:spacing w:after="60"/>
      </w:pPr>
      <w:r>
        <w:rPr>
          <w:rFonts w:ascii="Calibri" w:cs="Calibri" w:eastAsia="Calibri" w:hAnsi="Calibri"/>
          <w:color w:val="1E293B"/>
          <w:sz w:val="22"/>
          <w:szCs w:val="22"/>
        </w:rPr>
        <w:t xml:space="preserve">Customer process owner names a single accountable contact for the build sprints.</w:t>
      </w:r>
    </w:p>
    <w:p>
      <w:pPr>
        <w:pStyle w:val="ListParagraph"/>
        <w:numPr>
          <w:ilvl w:val="0"/>
          <w:numId w:val="2"/>
        </w:numPr>
        <w:spacing w:after="60"/>
      </w:pPr>
      <w:r>
        <w:rPr>
          <w:rFonts w:ascii="Calibri" w:cs="Calibri" w:eastAsia="Calibri" w:hAnsi="Calibri"/>
          <w:color w:val="1E293B"/>
          <w:sz w:val="22"/>
          <w:szCs w:val="22"/>
        </w:rPr>
        <w:t xml:space="preserve">Consultant has used at least one Adoption vs Re-engineering scenario to handle pushback — meaning the discipline tab is working.</w:t>
      </w:r>
    </w:p>
    <w:p>
      <w:pPr>
        <w:pStyle w:val="Heading1"/>
        <w:spacing w:after="180" w:before="360"/>
      </w:pPr>
      <w:r>
        <w:rPr>
          <w:rFonts w:ascii="Calibri" w:cs="Calibri" w:eastAsia="Calibri" w:hAnsi="Calibri"/>
          <w:b/>
          <w:bCs/>
          <w:color w:val="0B1F3A"/>
          <w:sz w:val="32"/>
          <w:szCs w:val="32"/>
        </w:rPr>
        <w:t xml:space="preserve">Frequently Asked Questions</w:t>
      </w:r>
    </w:p>
    <w:p>
      <w:pPr>
        <w:spacing w:after="120"/>
      </w:pPr>
      <w:r>
        <w:rPr>
          <w:rFonts w:ascii="Calibri" w:cs="Calibri" w:eastAsia="Calibri" w:hAnsi="Calibri"/>
          <w:b/>
          <w:bCs/>
          <w:color w:val="1E293B"/>
          <w:sz w:val="22"/>
          <w:szCs w:val="22"/>
        </w:rPr>
        <w:t xml:space="preserve">Q: Can we add custom processes to this Pack (e.g., Vendor Management, Demand Management)?</w:t>
      </w:r>
    </w:p>
    <w:p>
      <w:pPr>
        <w:spacing w:after="120"/>
      </w:pPr>
      <w:r>
        <w:rPr>
          <w:rFonts w:ascii="Calibri" w:cs="Calibri" w:eastAsia="Calibri" w:hAnsi="Calibri"/>
          <w:color w:val="1E293B"/>
          <w:sz w:val="22"/>
          <w:szCs w:val="22"/>
        </w:rPr>
        <w:t xml:space="preserve">A: Phase 1 scope is the six processes in this Pack. Other processes (Vendor Management, Demand Management, Service Portfolio Management) typically arrive in Phase 2 or Phase 3 with their own workbooks at that time. Don't try to extend Phase 1 mid-engagement — defer to backlog.</w:t>
      </w:r>
    </w:p>
    <w:p>
      <w:pPr>
        <w:spacing w:after="120"/>
      </w:pPr>
      <w:r>
        <w:rPr>
          <w:rFonts w:ascii="Calibri" w:cs="Calibri" w:eastAsia="Calibri" w:hAnsi="Calibri"/>
          <w:b/>
          <w:bCs/>
          <w:color w:val="1E293B"/>
          <w:sz w:val="22"/>
          <w:szCs w:val="22"/>
        </w:rPr>
        <w:t xml:space="preserve">Q: What if our process is materially different from OOTB and we genuinely need to customize?</w:t>
      </w:r>
    </w:p>
    <w:p>
      <w:pPr>
        <w:spacing w:after="120"/>
      </w:pPr>
      <w:r>
        <w:rPr>
          <w:rFonts w:ascii="Calibri" w:cs="Calibri" w:eastAsia="Calibri" w:hAnsi="Calibri"/>
          <w:color w:val="1E293B"/>
          <w:sz w:val="22"/>
          <w:szCs w:val="22"/>
        </w:rPr>
        <w:t xml:space="preserve">A: That's the Governance Board's job. Document the proposed deviation in Process Decisions with rationale; the two-key Governance Board (Customer Sponsor + ECS Practice Lead) evaluates. Approved customizations enter the build with a managed-deviation tag in the Triage Log.</w:t>
      </w:r>
    </w:p>
    <w:p>
      <w:pPr>
        <w:spacing w:after="120"/>
      </w:pPr>
      <w:r>
        <w:rPr>
          <w:rFonts w:ascii="Calibri" w:cs="Calibri" w:eastAsia="Calibri" w:hAnsi="Calibri"/>
          <w:b/>
          <w:bCs/>
          <w:color w:val="1E293B"/>
          <w:sz w:val="22"/>
          <w:szCs w:val="22"/>
        </w:rPr>
        <w:t xml:space="preserve">Q: Who decides what "OOTB" means for grey areas?</w:t>
      </w:r>
    </w:p>
    <w:p>
      <w:pPr>
        <w:spacing w:after="120"/>
      </w:pPr>
      <w:r>
        <w:rPr>
          <w:rFonts w:ascii="Calibri" w:cs="Calibri" w:eastAsia="Calibri" w:hAnsi="Calibri"/>
          <w:color w:val="1E293B"/>
          <w:sz w:val="22"/>
          <w:szCs w:val="22"/>
        </w:rPr>
        <w:t xml:space="preserve">A: ECS Solution Architect, with reference to ServiceNow Product Documentation. The OOTB Baseline language in the SOW (Section 2.3) defines this contractually. Grey areas are typically resolved in the Process OOTB Alignment workshop — if a feature is documented OOTB, it's OOTB; if it requires Script Includes, it's customization.</w:t>
      </w:r>
    </w:p>
    <w:p>
      <w:pPr>
        <w:spacing w:after="120"/>
      </w:pPr>
      <w:r>
        <w:rPr>
          <w:rFonts w:ascii="Calibri" w:cs="Calibri" w:eastAsia="Calibri" w:hAnsi="Calibri"/>
          <w:b/>
          <w:bCs/>
          <w:color w:val="1E293B"/>
          <w:sz w:val="22"/>
          <w:szCs w:val="22"/>
        </w:rPr>
        <w:t xml:space="preserve">Q: The Adoption vs Re-engineering tab feels confrontational — won't customers be offended?</w:t>
      </w:r>
    </w:p>
    <w:p>
      <w:pPr>
        <w:spacing w:after="120"/>
      </w:pPr>
      <w:r>
        <w:rPr>
          <w:rFonts w:ascii="Calibri" w:cs="Calibri" w:eastAsia="Calibri" w:hAnsi="Calibri"/>
          <w:color w:val="1E293B"/>
          <w:sz w:val="22"/>
          <w:szCs w:val="22"/>
        </w:rPr>
        <w:t xml:space="preserve">A: It's a working tool for the consultant, not customer-facing material. The customer doesn't see the tab in the workshop; the consultant references it for language. The actual customer conversation is informational and partnership-oriented — the tab just gives the consultant pre-prepared talking points so they don't have to invent them on the fly.</w:t>
      </w:r>
    </w:p>
    <w:p>
      <w:pPr>
        <w:spacing w:after="120"/>
      </w:pPr>
      <w:r>
        <w:rPr>
          <w:rFonts w:ascii="Calibri" w:cs="Calibri" w:eastAsia="Calibri" w:hAnsi="Calibri"/>
          <w:b/>
          <w:bCs/>
          <w:color w:val="1E293B"/>
          <w:sz w:val="22"/>
          <w:szCs w:val="22"/>
        </w:rPr>
        <w:t xml:space="preserve">Q: What if the customer's process owner pushes back HARD on every recommendation?</w:t>
      </w:r>
    </w:p>
    <w:p>
      <w:pPr>
        <w:spacing w:after="120"/>
      </w:pPr>
      <w:r>
        <w:rPr>
          <w:rFonts w:ascii="Calibri" w:cs="Calibri" w:eastAsia="Calibri" w:hAnsi="Calibri"/>
          <w:color w:val="1E293B"/>
          <w:sz w:val="22"/>
          <w:szCs w:val="22"/>
        </w:rPr>
        <w:t xml:space="preserve">A: That's the signal that the OOTB-first discipline isn't shared. Surface to the Engagement Manager and the Sponsor. The Governance Charter establishes the operating model up front — if the customer process owner is operating outside that model, it's a Sponsor-level conversation. Don't absorb the rework silently.</w:t>
      </w:r>
    </w:p>
    <w:p>
      <w:pPr>
        <w:pStyle w:val="Heading1"/>
        <w:spacing w:after="180" w:before="360"/>
      </w:pPr>
      <w:r>
        <w:rPr>
          <w:rFonts w:ascii="Calibri" w:cs="Calibri" w:eastAsia="Calibri" w:hAnsi="Calibri"/>
          <w:b/>
          <w:bCs/>
          <w:color w:val="0B1F3A"/>
          <w:sz w:val="32"/>
          <w:szCs w:val="32"/>
        </w:rPr>
        <w:t xml:space="preserve">A Final Note</w:t>
      </w:r>
    </w:p>
    <w:p>
      <w:pPr>
        <w:spacing w:after="120"/>
      </w:pPr>
      <w:r>
        <w:rPr>
          <w:rFonts w:ascii="Calibri" w:cs="Calibri" w:eastAsia="Calibri" w:hAnsi="Calibri"/>
          <w:color w:val="1E293B"/>
          <w:sz w:val="22"/>
          <w:szCs w:val="22"/>
        </w:rPr>
        <w:t xml:space="preserve">ITSM is where the OOTB-first discipline gets tested most. Every customer has years of investment in legacy process patterns; every process owner has "the way we do it here." The Pack structure exists to make those conversations productive: surface the legacy ask, demonstrate the OOTB alternative, capture the decision deliberately, and route genuine deviations to the Governance Board.</w:t>
      </w:r>
    </w:p>
    <w:p>
      <w:pPr>
        <w:spacing w:after="120"/>
      </w:pPr>
      <w:r>
        <w:rPr>
          <w:rFonts w:ascii="Calibri" w:cs="Calibri" w:eastAsia="Calibri" w:hAnsi="Calibri"/>
          <w:color w:val="1E293B"/>
          <w:sz w:val="22"/>
          <w:szCs w:val="22"/>
        </w:rPr>
        <w:t xml:space="preserve">Done well, the Process Decisions and Adoption vs Re-engineering tabs together produce two outcomes: the customer gets a process configured to OOTB and ready to absorb AI capabilities, and the consultant gets through the workshop without having the same "but our old system" debate three times.</w:t>
      </w:r>
    </w:p>
    <w:p>
      <w:pPr>
        <w:spacing w:after="120"/>
      </w:pPr>
      <w:r>
        <w:rPr>
          <w:rFonts w:ascii="Calibri" w:cs="Calibri" w:eastAsia="Calibri" w:hAnsi="Calibri"/>
          <w:b/>
          <w:bCs/>
          <w:color w:val="1E293B"/>
          <w:sz w:val="22"/>
          <w:szCs w:val="22"/>
        </w:rPr>
        <w:t xml:space="preserve">ECS Federal  ·  ServiceNow Practice</w:t>
      </w:r>
    </w:p>
    <w:sectPr>
      <w:headerReference w:type="default" r:id="rId7"/>
      <w:footerReference w:type="default" r:id="rId8"/>
      <w:pgSz w:w="12240" w:h="15840" w:orient="portrait"/>
      <w:pgMar w:top="1620" w:right="1440" w:bottom="1440" w:left="1440"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75569"/>
        <w:sz w:val="16"/>
        <w:szCs w:val="16"/>
      </w:rPr>
      <w:t xml:space="preserve">ECS Federal · ServiceNow Practice  ·  ITSM Process Pack</w:t>
    </w:r>
    <w:r>
      <w:rPr>
        <w:rFonts w:ascii="Calibri" w:cs="Calibri" w:eastAsia="Calibri" w:hAnsi="Calibri"/>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047750" cy="2000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00025"/>
                  </a:xfrm>
                  <a:prstGeom prst="rect">
                    <a:avLst/>
                  </a:prstGeom>
                </pic:spPr>
              </pic:pic>
            </a:graphicData>
          </a:graphic>
        </wp:inline>
      </w:drawing>
    </w:r>
    <w:r>
      <w:rPr>
        <w:rFonts w:ascii="Calibri" w:cs="Calibri" w:eastAsia="Calibri" w:hAnsi="Calibri"/>
      </w:rPr>
      <w:t xml:space="preserve">	</w:t>
    </w:r>
    <w:r>
      <w:rPr>
        <w:rFonts w:ascii="Calibri" w:cs="Calibri" w:eastAsia="Calibri" w:hAnsi="Calibri"/>
        <w:color w:val="475569"/>
        <w:spacing w:val="30"/>
        <w:sz w:val="18"/>
        <w:szCs w:val="18"/>
      </w:rPr>
      <w:t xml:space="preserve">ITSM Process Pack  ·  README</w:t>
    </w:r>
  </w:p>
  <w:p>
    <w:pPr>
      <w:pBdr>
        <w:bottom w:val="single" w:color="14B8A6" w:sz="8" w:space="1"/>
      </w:pBdr>
      <w:spacing w:before="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B1F3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54846f4066746b49259fb08f2a83d17c2a67096.png"/><Relationship Id="rId14" Type="http://schemas.openxmlformats.org/officeDocument/2006/relationships/customXml" Target="../customXml/item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DOCID-202112391-25632</_dlc_DocId>
    <_dlc_DocIdUrl xmlns="ea10e7c1-45f6-45a6-9220-470b2ac38f45">
      <Url>https://itecsfederal.sharepoint.com/teams/MissionSolutions/ISM/_layouts/15/DocIdRedir.aspx?ID=DOCID-202112391-25632</Url>
      <Description>DOCID-202112391-25632</Description>
    </_dlc_DocIdUrl>
  </documentManagement>
</p:properties>
</file>

<file path=customXml/itemProps1.xml><?xml version="1.0" encoding="utf-8"?>
<ds:datastoreItem xmlns:ds="http://schemas.openxmlformats.org/officeDocument/2006/customXml" ds:itemID="{EC7D934C-125A-4AA1-9CAC-CFCA0307F21B}"/>
</file>

<file path=customXml/itemProps2.xml><?xml version="1.0" encoding="utf-8"?>
<ds:datastoreItem xmlns:ds="http://schemas.openxmlformats.org/officeDocument/2006/customXml" ds:itemID="{CC62B1E0-605C-4BE1-8600-3002E66395EB}"/>
</file>

<file path=customXml/itemProps3.xml><?xml version="1.0" encoding="utf-8"?>
<ds:datastoreItem xmlns:ds="http://schemas.openxmlformats.org/officeDocument/2006/customXml" ds:itemID="{96861A14-0A4E-4231-9291-3FE84832A704}"/>
</file>

<file path=customXml/itemProps4.xml><?xml version="1.0" encoding="utf-8"?>
<ds:datastoreItem xmlns:ds="http://schemas.openxmlformats.org/officeDocument/2006/customXml" ds:itemID="{B6C4BEDF-D11A-466B-8DE5-C2B23ECBCB1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ITSM Process Accelerator Pack — README</dc:title>
  <dc:creator>ECS Federal · ServiceNow Practice</dc:creator>
  <cp:lastModifiedBy>Un-named</cp:lastModifiedBy>
  <cp:revision>1</cp:revision>
  <dcterms:created xsi:type="dcterms:W3CDTF">2026-05-06T09:08:28Z</dcterms:created>
  <dcterms:modified xsi:type="dcterms:W3CDTF">2026-05-06T09:08:28Z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200ed421-a4e2-4add-a994-958e0818a02c</vt:lpwstr>
  </property>
</Properties>
</file>