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drawing>
          <wp:inline distT="0" distB="0" distL="0" distR="0">
            <wp:extent cx="2095500" cy="390525"/>
            <wp:effectExtent t="0" r="0" b="0" l="0"/>
            <wp:docPr id="1" name="Logo" descr="Everforth ECS Federal logo" title="Everforth ECS Fed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390525"/>
                    </a:xfrm>
                    <a:prstGeom prst="rect">
                      <a:avLst/>
                    </a:prstGeom>
                  </pic:spPr>
                </pic:pic>
              </a:graphicData>
            </a:graphic>
          </wp:inline>
        </w:drawing>
      </w:r>
    </w:p>
    <w:p>
      <w:pPr>
        <w:spacing w:after="240" w:before="1800"/>
      </w:pPr>
      <w:r>
        <w:rPr>
          <w:rFonts w:ascii="Calibri" w:cs="Calibri" w:eastAsia="Calibri" w:hAnsi="Calibri"/>
          <w:b/>
          <w:bCs/>
          <w:color w:val="14B8A6"/>
          <w:spacing w:val="80"/>
          <w:sz w:val="18"/>
          <w:szCs w:val="18"/>
        </w:rPr>
        <w:t xml:space="preserve">ACCELERATOR PACK</w:t>
      </w:r>
    </w:p>
    <w:p>
      <w:pPr>
        <w:spacing w:after="120"/>
      </w:pPr>
      <w:r>
        <w:rPr>
          <w:rFonts w:ascii="Calibri" w:cs="Calibri" w:eastAsia="Calibri" w:hAnsi="Calibri"/>
          <w:b/>
          <w:bCs/>
          <w:color w:val="0B1F3A"/>
          <w:sz w:val="56"/>
          <w:szCs w:val="56"/>
        </w:rPr>
        <w:t xml:space="preserve">Integration</w:t>
      </w:r>
    </w:p>
    <w:p>
      <w:pPr>
        <w:spacing w:after="120"/>
      </w:pPr>
      <w:r>
        <w:rPr>
          <w:rFonts w:ascii="Calibri" w:cs="Calibri" w:eastAsia="Calibri" w:hAnsi="Calibri"/>
          <w:b/>
          <w:bCs/>
          <w:color w:val="0B1F3A"/>
          <w:sz w:val="56"/>
          <w:szCs w:val="56"/>
        </w:rPr>
        <w:t xml:space="preserve">Accelerator Pack — README</w:t>
      </w:r>
    </w:p>
    <w:p>
      <w:pPr>
        <w:spacing w:after="480"/>
      </w:pPr>
      <w:r>
        <w:rPr>
          <w:rFonts w:ascii="Calibri" w:cs="Calibri" w:eastAsia="Calibri" w:hAnsi="Calibri"/>
          <w:i/>
          <w:iCs/>
          <w:color w:val="0D9488"/>
          <w:sz w:val="24"/>
          <w:szCs w:val="24"/>
        </w:rPr>
        <w:t xml:space="preserve">Four integration workbooks: AD/Entra ID, SSO, SCCM, Intune. Plus the porting approach for an existing domain-separated instance.</w:t>
      </w:r>
    </w:p>
    <w:p>
      <w:pPr>
        <w:pBdr>
          <w:bottom w:val="single" w:color="14B8A6" w:sz="12" w:space="1"/>
        </w:pBdr>
      </w:pPr>
      <w:r>
        <w:t xml:space="preserve"/>
      </w:r>
    </w:p>
    <w:p>
      <w:pPr>
        <w:spacing w:after="60" w:before="200"/>
      </w:pPr>
      <w:r>
        <w:rPr>
          <w:rFonts w:ascii="Calibri" w:cs="Calibri" w:eastAsia="Calibri" w:hAnsi="Calibri"/>
          <w:i w:val="false"/>
          <w:iCs w:val="false"/>
          <w:color w:val="1E293B"/>
          <w:sz w:val="22"/>
          <w:szCs w:val="22"/>
        </w:rPr>
        <w:t xml:space="preserve">ECS Federal  ·  ServiceNow Practice</w:t>
      </w:r>
    </w:p>
    <w:p>
      <w:pPr>
        <w:spacing w:after="60" w:before="0"/>
      </w:pPr>
      <w:r>
        <w:rPr>
          <w:rFonts w:ascii="Calibri" w:cs="Calibri" w:eastAsia="Calibri" w:hAnsi="Calibri"/>
          <w:i w:val="false"/>
          <w:iCs w:val="false"/>
          <w:color w:val="1E293B"/>
          <w:sz w:val="22"/>
          <w:szCs w:val="22"/>
        </w:rPr>
        <w:t xml:space="preserve">Recipient: Customer Project Sponsor and named integration SMEs</w:t>
      </w:r>
    </w:p>
    <w:p>
      <w:pPr>
        <w:spacing w:after="60" w:before="0"/>
      </w:pPr>
      <w:r>
        <w:rPr>
          <w:rFonts w:ascii="Calibri" w:cs="Calibri" w:eastAsia="Calibri" w:hAnsi="Calibri"/>
          <w:i/>
          <w:iCs/>
          <w:color w:val="475569"/>
          <w:sz w:val="18"/>
          <w:szCs w:val="18"/>
        </w:rPr>
        <w:t xml:space="preserve">Confidential — for the recipient and their organization</w:t>
      </w:r>
    </w:p>
    <w:p>
      <w:pPr>
        <w:sectPr>
          <w:pgSz w:w="12240" w:h="15840" w:orient="portrait"/>
          <w:pgMar w:top="1440" w:right="1440" w:bottom="1440" w:left="1440" w:header="708" w:footer="708" w:gutter="0"/>
          <w:pgNumType/>
          <w:titlePg/>
          <w:docGrid w:linePitch="360"/>
        </w:sectPr>
      </w:pPr>
    </w:p>
    <w:p>
      <w:pPr>
        <w:pStyle w:val="Heading1"/>
        <w:spacing w:after="180" w:before="360"/>
      </w:pPr>
      <w:r>
        <w:rPr>
          <w:rFonts w:ascii="Calibri" w:cs="Calibri" w:eastAsia="Calibri" w:hAnsi="Calibri"/>
          <w:b/>
          <w:bCs/>
          <w:color w:val="0B1F3A"/>
          <w:sz w:val="32"/>
          <w:szCs w:val="32"/>
        </w:rPr>
        <w:t xml:space="preserve">What This Pack Is</w:t>
      </w:r>
    </w:p>
    <w:p>
      <w:pPr>
        <w:spacing w:after="120"/>
      </w:pPr>
      <w:r>
        <w:rPr>
          <w:rFonts w:ascii="Calibri" w:cs="Calibri" w:eastAsia="Calibri" w:hAnsi="Calibri"/>
          <w:color w:val="1E293B"/>
          <w:sz w:val="22"/>
          <w:szCs w:val="22"/>
        </w:rPr>
        <w:t xml:space="preserve">This Integration Accelerator Pack contains four workbooks covering the foundational integrations a Phase 1 OOTB-aligned ServiceNow instance needs: Active Directory (or Entra ID), Single Sign-On, SCCM Service Graph Connector, and Intune Service Graph Connector. Together these integrations populate the user directory, authenticate users, and feed device data into the CMDB — the prerequisites for nearly everything else the platform does.</w:t>
      </w:r>
    </w:p>
    <w:p>
      <w:pPr>
        <w:spacing w:after="120"/>
      </w:pPr>
      <w:r>
        <w:rPr>
          <w:rFonts w:ascii="Calibri" w:cs="Calibri" w:eastAsia="Calibri" w:hAnsi="Calibri"/>
          <w:color w:val="1E293B"/>
          <w:sz w:val="22"/>
          <w:szCs w:val="22"/>
        </w:rPr>
        <w:t xml:space="preserve">This Pack ships alongside the Foundation Data Pack. Foundation Data captures the static base population (users, groups, locations, etc.) that you provide in spreadsheets; the Integration Pack captures how that data flows on an ongoing basis from your source systems into ServiceNow. Both Packs are needed to land Sprint 0/1 successfully.</w:t>
      </w:r>
    </w:p>
    <w:p>
      <w:pPr>
        <w:pStyle w:val="Heading1"/>
        <w:spacing w:after="180" w:before="360"/>
      </w:pPr>
      <w:r>
        <w:rPr>
          <w:rFonts w:ascii="Calibri" w:cs="Calibri" w:eastAsia="Calibri" w:hAnsi="Calibri"/>
          <w:b/>
          <w:bCs/>
          <w:color w:val="0B1F3A"/>
          <w:sz w:val="32"/>
          <w:szCs w:val="32"/>
        </w:rPr>
        <w:t xml:space="preserve">The Four Workbooks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520"/>
        <w:gridCol w:w="2880"/>
        <w:gridCol w:w="1980"/>
        <w:gridCol w:w="1260"/>
      </w:tblGrid>
      <w:tr>
        <w:trPr>
          <w:tblHeader/>
        </w:trPr>
        <w:tc>
          <w:tcPr>
            <w:tcBorders>
              <w:top w:val="single" w:color="E2E8F0" w:sz="4"/>
              <w:left w:val="single" w:color="E2E8F0" w:sz="4"/>
              <w:bottom w:val="single" w:color="E2E8F0" w:sz="4"/>
              <w:right w:val="single" w:color="E2E8F0" w:sz="4"/>
            </w:tcBorders>
            <w:shd w:fill="0B1F3A" w:val="clear"/>
            <w:tcMar>
              <w:top w:type="dxa" w:w="120"/>
              <w:left w:type="dxa" w:w="160"/>
              <w:bottom w:type="dxa" w:w="120"/>
              <w:right w:type="dxa" w:w="160"/>
            </w:tcMar>
          </w:tcPr>
          <w:p>
            <w:r>
              <w:rPr>
                <w:rFonts w:ascii="Calibri" w:cs="Calibri" w:eastAsia="Calibri" w:hAnsi="Calibri"/>
                <w:b/>
                <w:bCs/>
                <w:color w:val="FFFFFF"/>
                <w:sz w:val="22"/>
                <w:szCs w:val="22"/>
              </w:rPr>
              <w:t xml:space="preserve">#</w:t>
            </w:r>
          </w:p>
        </w:tc>
        <w:tc>
          <w:tcPr>
            <w:tcBorders>
              <w:top w:val="single" w:color="E2E8F0" w:sz="4"/>
              <w:left w:val="single" w:color="E2E8F0" w:sz="4"/>
              <w:bottom w:val="single" w:color="E2E8F0" w:sz="4"/>
              <w:right w:val="single" w:color="E2E8F0" w:sz="4"/>
            </w:tcBorders>
            <w:shd w:fill="0B1F3A" w:val="clear"/>
            <w:tcMar>
              <w:top w:type="dxa" w:w="120"/>
              <w:left w:type="dxa" w:w="160"/>
              <w:bottom w:type="dxa" w:w="120"/>
              <w:right w:type="dxa" w:w="160"/>
            </w:tcMar>
          </w:tcPr>
          <w:p>
            <w:r>
              <w:rPr>
                <w:rFonts w:ascii="Calibri" w:cs="Calibri" w:eastAsia="Calibri" w:hAnsi="Calibri"/>
                <w:b/>
                <w:bCs/>
                <w:color w:val="FFFFFF"/>
                <w:sz w:val="22"/>
                <w:szCs w:val="22"/>
              </w:rPr>
              <w:t xml:space="preserve">Workbook</w:t>
            </w:r>
          </w:p>
        </w:tc>
        <w:tc>
          <w:tcPr>
            <w:tcBorders>
              <w:top w:val="single" w:color="E2E8F0" w:sz="4"/>
              <w:left w:val="single" w:color="E2E8F0" w:sz="4"/>
              <w:bottom w:val="single" w:color="E2E8F0" w:sz="4"/>
              <w:right w:val="single" w:color="E2E8F0" w:sz="4"/>
            </w:tcBorders>
            <w:shd w:fill="0B1F3A" w:val="clear"/>
            <w:tcMar>
              <w:top w:type="dxa" w:w="120"/>
              <w:left w:type="dxa" w:w="160"/>
              <w:bottom w:type="dxa" w:w="120"/>
              <w:right w:type="dxa" w:w="160"/>
            </w:tcMar>
          </w:tcPr>
          <w:p>
            <w:r>
              <w:rPr>
                <w:rFonts w:ascii="Calibri" w:cs="Calibri" w:eastAsia="Calibri" w:hAnsi="Calibri"/>
                <w:b/>
                <w:bCs/>
                <w:color w:val="FFFFFF"/>
                <w:sz w:val="22"/>
                <w:szCs w:val="22"/>
              </w:rPr>
              <w:t xml:space="preserve">What it Captures</w:t>
            </w:r>
          </w:p>
        </w:tc>
        <w:tc>
          <w:tcPr>
            <w:tcBorders>
              <w:top w:val="single" w:color="E2E8F0" w:sz="4"/>
              <w:left w:val="single" w:color="E2E8F0" w:sz="4"/>
              <w:bottom w:val="single" w:color="E2E8F0" w:sz="4"/>
              <w:right w:val="single" w:color="E2E8F0" w:sz="4"/>
            </w:tcBorders>
            <w:shd w:fill="0B1F3A" w:val="clear"/>
            <w:tcMar>
              <w:top w:type="dxa" w:w="120"/>
              <w:left w:type="dxa" w:w="160"/>
              <w:bottom w:type="dxa" w:w="120"/>
              <w:right w:type="dxa" w:w="160"/>
            </w:tcMar>
          </w:tcPr>
          <w:p>
            <w:r>
              <w:rPr>
                <w:rFonts w:ascii="Calibri" w:cs="Calibri" w:eastAsia="Calibri" w:hAnsi="Calibri"/>
                <w:b/>
                <w:bCs/>
                <w:color w:val="FFFFFF"/>
                <w:sz w:val="22"/>
                <w:szCs w:val="22"/>
              </w:rPr>
              <w:t xml:space="preserve">Customer Owner</w:t>
            </w:r>
          </w:p>
        </w:tc>
        <w:tc>
          <w:tcPr>
            <w:tcBorders>
              <w:top w:val="single" w:color="E2E8F0" w:sz="4"/>
              <w:left w:val="single" w:color="E2E8F0" w:sz="4"/>
              <w:bottom w:val="single" w:color="E2E8F0" w:sz="4"/>
              <w:right w:val="single" w:color="E2E8F0" w:sz="4"/>
            </w:tcBorders>
            <w:shd w:fill="0B1F3A" w:val="clear"/>
            <w:tcMar>
              <w:top w:type="dxa" w:w="120"/>
              <w:left w:type="dxa" w:w="160"/>
              <w:bottom w:type="dxa" w:w="120"/>
              <w:right w:type="dxa" w:w="160"/>
            </w:tcMar>
          </w:tcPr>
          <w:p>
            <w:r>
              <w:rPr>
                <w:rFonts w:ascii="Calibri" w:cs="Calibri" w:eastAsia="Calibri" w:hAnsi="Calibri"/>
                <w:b/>
                <w:bCs/>
                <w:color w:val="FFFFFF"/>
                <w:sz w:val="22"/>
                <w:szCs w:val="22"/>
              </w:rPr>
              <w:t xml:space="preserve">Due</w:t>
            </w:r>
          </w:p>
        </w:tc>
      </w:tr>
      <w:tr>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01</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Active Directory / Entra ID</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User and group sync from your identity directory</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IAM Lead + AD Admin</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End of Sprint 0, Wk 2</w:t>
            </w:r>
          </w:p>
        </w:tc>
      </w:tr>
      <w:tr>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02</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Single Sign-On (SAML / OIDC)</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Authentication via your IdP (Entra ID, Okta, Ping, etc.)</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IAM Lead + IdP Admin</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End of Sprint 0, Wk 2</w:t>
            </w:r>
          </w:p>
        </w:tc>
      </w:tr>
      <w:tr>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03</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SCCM Service Graph Connector</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Hardware, software, and config data from SCCM-managed devices</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SCCM Admin + CMDB Lead</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End of Sprint 0, Wk 2</w:t>
            </w:r>
          </w:p>
        </w:tc>
      </w:tr>
      <w:tr>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04</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Intune Service Graph Connector</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Cloud-managed and mobile device data from Intune</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Intune Admin + Endpoint Lead</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End of Sprint 0, Wk 2</w:t>
            </w:r>
          </w:p>
        </w:tc>
      </w:tr>
    </w:tbl>
    <w:p>
      <w:pPr>
        <w:spacing w:after="120"/>
      </w:pPr>
      <w:r>
        <w:rPr>
          <w:rFonts w:ascii="Calibri" w:cs="Calibri" w:eastAsia="Calibri" w:hAnsi="Calibri"/>
          <w:color w:val="1E293B"/>
          <w:sz w:val="22"/>
          <w:szCs w:val="22"/>
        </w:rPr>
        <w:t xml:space="preserve">Each workbook contains seven tabs: Instructions (start here), Requirements (what the integration must do), Dependencies (prerequisites with ECS-vs-Customer ownership), Configuration Data (the actual parameters), R&amp;R (RACI matrix), Developer Notes (internal reference for your ECS Solution Architect — you can ignore this), Port from Legacy (how to migrate the existing integration), and ServiceNow Mapping (internal reference).</w:t>
      </w:r>
    </w:p>
    <w:p>
      <w:pPr>
        <w:pStyle w:val="Heading1"/>
        <w:spacing w:after="180" w:before="360"/>
      </w:pPr>
      <w:r>
        <w:rPr>
          <w:rFonts w:ascii="Calibri" w:cs="Calibri" w:eastAsia="Calibri" w:hAnsi="Calibri"/>
          <w:b/>
          <w:bCs/>
          <w:color w:val="0B1F3A"/>
          <w:sz w:val="32"/>
          <w:szCs w:val="32"/>
        </w:rPr>
        <w:t xml:space="preserve">How to Fill Out a Workbook</w:t>
      </w:r>
    </w:p>
    <w:p>
      <w:pPr>
        <w:pStyle w:val="ListParagraph"/>
        <w:numPr>
          <w:ilvl w:val="0"/>
          <w:numId w:val="2"/>
        </w:numPr>
        <w:spacing w:after="60"/>
      </w:pPr>
      <w:r>
        <w:rPr>
          <w:rFonts w:ascii="Calibri" w:cs="Calibri" w:eastAsia="Calibri" w:hAnsi="Calibri"/>
          <w:color w:val="1E293B"/>
          <w:sz w:val="22"/>
          <w:szCs w:val="22"/>
        </w:rPr>
        <w:t xml:space="preserve">Open the workbook. Read the Instructions tab end-to-end. Pay attention to the Common Pitfalls and the FAQ.</w:t>
      </w:r>
    </w:p>
    <w:p>
      <w:pPr>
        <w:pStyle w:val="ListParagraph"/>
        <w:numPr>
          <w:ilvl w:val="0"/>
          <w:numId w:val="2"/>
        </w:numPr>
        <w:spacing w:after="60"/>
      </w:pPr>
      <w:r>
        <w:rPr>
          <w:rFonts w:ascii="Calibri" w:cs="Calibri" w:eastAsia="Calibri" w:hAnsi="Calibri"/>
          <w:color w:val="1E293B"/>
          <w:sz w:val="22"/>
          <w:szCs w:val="22"/>
        </w:rPr>
        <w:t xml:space="preserve">Switch to Requirements. Fill the Answer column for each question. The yellow-shaded italic example answers show the expected format — replace them with your own.</w:t>
      </w:r>
    </w:p>
    <w:p>
      <w:pPr>
        <w:pStyle w:val="ListParagraph"/>
        <w:numPr>
          <w:ilvl w:val="0"/>
          <w:numId w:val="2"/>
        </w:numPr>
        <w:spacing w:after="60"/>
      </w:pPr>
      <w:r>
        <w:rPr>
          <w:rFonts w:ascii="Calibri" w:cs="Calibri" w:eastAsia="Calibri" w:hAnsi="Calibri"/>
          <w:color w:val="1E293B"/>
          <w:sz w:val="22"/>
          <w:szCs w:val="22"/>
        </w:rPr>
        <w:t xml:space="preserve">Move to Dependencies. Mark Status (Not Started / In Progress / Complete / Blocked / N/A) for each dependency. ECS-owned items are blue; Customer-owned are green.</w:t>
      </w:r>
    </w:p>
    <w:p>
      <w:pPr>
        <w:pStyle w:val="ListParagraph"/>
        <w:numPr>
          <w:ilvl w:val="0"/>
          <w:numId w:val="2"/>
        </w:numPr>
        <w:spacing w:after="60"/>
      </w:pPr>
      <w:r>
        <w:rPr>
          <w:rFonts w:ascii="Calibri" w:cs="Calibri" w:eastAsia="Calibri" w:hAnsi="Calibri"/>
          <w:color w:val="1E293B"/>
          <w:sz w:val="22"/>
          <w:szCs w:val="22"/>
        </w:rPr>
        <w:t xml:space="preserve">Configuration Data is the most detailed tab. Fill the Value column for every field. Use your source-system administrator (AD admin, SCCM admin, Intune admin, IdP admin) for the technical parameters.</w:t>
      </w:r>
    </w:p>
    <w:p>
      <w:pPr>
        <w:pStyle w:val="ListParagraph"/>
        <w:numPr>
          <w:ilvl w:val="0"/>
          <w:numId w:val="2"/>
        </w:numPr>
        <w:spacing w:after="60"/>
      </w:pPr>
      <w:r>
        <w:rPr>
          <w:rFonts w:ascii="Calibri" w:cs="Calibri" w:eastAsia="Calibri" w:hAnsi="Calibri"/>
          <w:color w:val="1E293B"/>
          <w:sz w:val="22"/>
          <w:szCs w:val="22"/>
        </w:rPr>
        <w:t xml:space="preserve">R&amp;R shows who owns what. Review for understanding; flag any disagreements with your Solution Architect.</w:t>
      </w:r>
    </w:p>
    <w:p>
      <w:pPr>
        <w:pStyle w:val="ListParagraph"/>
        <w:numPr>
          <w:ilvl w:val="0"/>
          <w:numId w:val="2"/>
        </w:numPr>
        <w:spacing w:after="60"/>
      </w:pPr>
      <w:r>
        <w:rPr>
          <w:rFonts w:ascii="Calibri" w:cs="Calibri" w:eastAsia="Calibri" w:hAnsi="Calibri"/>
          <w:color w:val="1E293B"/>
          <w:sz w:val="22"/>
          <w:szCs w:val="22"/>
        </w:rPr>
        <w:t xml:space="preserve">If your existing domain-separated instance has this integration, complete the Port from Legacy tab — list each legacy component and choose its disposition (Port As-Is, Port with Modifications, Rebuild OOTB, Retire, PCR Required, Defer to Phase 2).</w:t>
      </w:r>
    </w:p>
    <w:p>
      <w:pPr>
        <w:pStyle w:val="ListParagraph"/>
        <w:numPr>
          <w:ilvl w:val="0"/>
          <w:numId w:val="2"/>
        </w:numPr>
        <w:spacing w:after="60"/>
      </w:pPr>
      <w:r>
        <w:rPr>
          <w:rFonts w:ascii="Calibri" w:cs="Calibri" w:eastAsia="Calibri" w:hAnsi="Calibri"/>
          <w:color w:val="1E293B"/>
          <w:sz w:val="22"/>
          <w:szCs w:val="22"/>
        </w:rPr>
        <w:t xml:space="preserve">Skip Developer Notes and ServiceNow Mapping — these are reference for the ECS team.</w:t>
      </w:r>
    </w:p>
    <w:p>
      <w:pPr>
        <w:pStyle w:val="ListParagraph"/>
        <w:numPr>
          <w:ilvl w:val="0"/>
          <w:numId w:val="2"/>
        </w:numPr>
        <w:spacing w:after="60"/>
      </w:pPr>
      <w:r>
        <w:rPr>
          <w:rFonts w:ascii="Calibri" w:cs="Calibri" w:eastAsia="Calibri" w:hAnsi="Calibri"/>
          <w:color w:val="1E293B"/>
          <w:sz w:val="22"/>
          <w:szCs w:val="22"/>
        </w:rPr>
        <w:t xml:space="preserve">Do not add or remove tabs. Do not rename column headers. The structure must match the import pipeline.</w:t>
      </w:r>
    </w:p>
    <w:p>
      <w:pPr>
        <w:pStyle w:val="Heading1"/>
        <w:spacing w:after="180" w:before="360"/>
      </w:pPr>
      <w:r>
        <w:rPr>
          <w:rFonts w:ascii="Calibri" w:cs="Calibri" w:eastAsia="Calibri" w:hAnsi="Calibri"/>
          <w:b/>
          <w:bCs/>
          <w:color w:val="0B1F3A"/>
          <w:sz w:val="32"/>
          <w:szCs w:val="32"/>
        </w:rPr>
        <w:t xml:space="preserve">Order of Completion</w:t>
      </w:r>
    </w:p>
    <w:p>
      <w:pPr>
        <w:spacing w:after="120"/>
      </w:pPr>
      <w:r>
        <w:rPr>
          <w:rFonts w:ascii="Calibri" w:cs="Calibri" w:eastAsia="Calibri" w:hAnsi="Calibri"/>
          <w:color w:val="1E293B"/>
          <w:sz w:val="22"/>
          <w:szCs w:val="22"/>
        </w:rPr>
        <w:t xml:space="preserve">The integration workbooks have dependencies. Complete in this order:</w:t>
      </w:r>
    </w:p>
    <w:p>
      <w:pPr>
        <w:pStyle w:val="ListParagraph"/>
        <w:numPr>
          <w:ilvl w:val="0"/>
          <w:numId w:val="2"/>
        </w:numPr>
        <w:spacing w:after="60"/>
      </w:pPr>
      <w:r>
        <w:rPr>
          <w:rFonts w:ascii="Calibri" w:cs="Calibri" w:eastAsia="Calibri" w:hAnsi="Calibri"/>
          <w:color w:val="1E293B"/>
          <w:sz w:val="22"/>
          <w:szCs w:val="22"/>
        </w:rPr>
        <w:t xml:space="preserve">Active Directory / Entra ID (01) — establishes the user directory.</w:t>
      </w:r>
    </w:p>
    <w:p>
      <w:pPr>
        <w:pStyle w:val="ListParagraph"/>
        <w:numPr>
          <w:ilvl w:val="0"/>
          <w:numId w:val="2"/>
        </w:numPr>
        <w:spacing w:after="60"/>
      </w:pPr>
      <w:r>
        <w:rPr>
          <w:rFonts w:ascii="Calibri" w:cs="Calibri" w:eastAsia="Calibri" w:hAnsi="Calibri"/>
          <w:color w:val="1E293B"/>
          <w:sz w:val="22"/>
          <w:szCs w:val="22"/>
        </w:rPr>
        <w:t xml:space="preserve">SSO (02) — depends on AD/Entra ID being live so users can be matched on first login.</w:t>
      </w:r>
    </w:p>
    <w:p>
      <w:pPr>
        <w:pStyle w:val="ListParagraph"/>
        <w:numPr>
          <w:ilvl w:val="0"/>
          <w:numId w:val="2"/>
        </w:numPr>
        <w:spacing w:after="60"/>
      </w:pPr>
      <w:r>
        <w:rPr>
          <w:rFonts w:ascii="Calibri" w:cs="Calibri" w:eastAsia="Calibri" w:hAnsi="Calibri"/>
          <w:color w:val="1E293B"/>
          <w:sz w:val="22"/>
          <w:szCs w:val="22"/>
        </w:rPr>
        <w:t xml:space="preserve">SCCM SGC (03) — independent of 01 and 02; can run in parallel.</w:t>
      </w:r>
    </w:p>
    <w:p>
      <w:pPr>
        <w:pStyle w:val="ListParagraph"/>
        <w:numPr>
          <w:ilvl w:val="0"/>
          <w:numId w:val="2"/>
        </w:numPr>
        <w:spacing w:after="60"/>
      </w:pPr>
      <w:r>
        <w:rPr>
          <w:rFonts w:ascii="Calibri" w:cs="Calibri" w:eastAsia="Calibri" w:hAnsi="Calibri"/>
          <w:color w:val="1E293B"/>
          <w:sz w:val="22"/>
          <w:szCs w:val="22"/>
        </w:rPr>
        <w:t xml:space="preserve">Intune SGC (04) — independent of 01 and 02; can run in parallel. If both SCCM and Intune are in scope, decide co-management precedence (covered in workbook 04).</w:t>
      </w:r>
    </w:p>
    <w:p>
      <w:pPr>
        <w:pStyle w:val="Heading1"/>
        <w:spacing w:after="180" w:before="360"/>
      </w:pPr>
      <w:r>
        <w:rPr>
          <w:rFonts w:ascii="Calibri" w:cs="Calibri" w:eastAsia="Calibri" w:hAnsi="Calibri"/>
          <w:b/>
          <w:bCs/>
          <w:color w:val="0B1F3A"/>
          <w:sz w:val="32"/>
          <w:szCs w:val="32"/>
        </w:rPr>
        <w:t xml:space="preserve">The Port-from-Legacy Approach</w:t>
      </w:r>
    </w:p>
    <w:p>
      <w:pPr>
        <w:spacing w:after="120"/>
      </w:pPr>
      <w:r>
        <w:rPr>
          <w:rFonts w:ascii="Calibri" w:cs="Calibri" w:eastAsia="Calibri" w:hAnsi="Calibri"/>
          <w:color w:val="1E293B"/>
          <w:sz w:val="22"/>
          <w:szCs w:val="22"/>
        </w:rPr>
        <w:t xml:space="preserve">This Pack is unusual in that it explicitly addresses a common situation: you already have these integrations running in a legacy domain-separated ServiceNow instance, and you need to move them to a clean OOTB-aligned instance. The Port from Legacy tab in each workbook walks through the approach.</w:t>
      </w:r>
    </w:p>
    <w:p>
      <w:pPr>
        <w:spacing w:after="120"/>
      </w:pPr>
      <w:r>
        <w:rPr>
          <w:rFonts w:ascii="Calibri" w:cs="Calibri" w:eastAsia="Calibri" w:hAnsi="Calibri"/>
          <w:b/>
          <w:bCs/>
          <w:color w:val="1E293B"/>
          <w:sz w:val="22"/>
          <w:szCs w:val="22"/>
        </w:rPr>
        <w:t xml:space="preserve">The principle: harvest the working configuration; leave the customizations behind.</w:t>
      </w:r>
    </w:p>
    <w:p>
      <w:pPr>
        <w:spacing w:after="120"/>
      </w:pPr>
      <w:r>
        <w:rPr>
          <w:rFonts w:ascii="Calibri" w:cs="Calibri" w:eastAsia="Calibri" w:hAnsi="Calibri"/>
          <w:color w:val="1E293B"/>
          <w:sz w:val="22"/>
          <w:szCs w:val="22"/>
        </w:rPr>
        <w:t xml:space="preserve">Each legacy integration component is categorized into one of six dispositions: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Borders>
              <w:top w:val="single" w:color="E2E8F0" w:sz="4"/>
              <w:left w:val="single" w:color="E2E8F0" w:sz="4"/>
              <w:bottom w:val="single" w:color="E2E8F0" w:sz="4"/>
              <w:right w:val="single" w:color="E2E8F0" w:sz="4"/>
            </w:tcBorders>
            <w:shd w:fill="0B1F3A" w:val="clear"/>
            <w:tcMar>
              <w:top w:type="dxa" w:w="120"/>
              <w:left w:type="dxa" w:w="160"/>
              <w:bottom w:type="dxa" w:w="120"/>
              <w:right w:type="dxa" w:w="160"/>
            </w:tcMar>
          </w:tcPr>
          <w:p>
            <w:r>
              <w:rPr>
                <w:rFonts w:ascii="Calibri" w:cs="Calibri" w:eastAsia="Calibri" w:hAnsi="Calibri"/>
                <w:b/>
                <w:bCs/>
                <w:color w:val="FFFFFF"/>
                <w:sz w:val="22"/>
                <w:szCs w:val="22"/>
              </w:rPr>
              <w:t xml:space="preserve">Disposition</w:t>
            </w:r>
          </w:p>
        </w:tc>
        <w:tc>
          <w:tcPr>
            <w:tcBorders>
              <w:top w:val="single" w:color="E2E8F0" w:sz="4"/>
              <w:left w:val="single" w:color="E2E8F0" w:sz="4"/>
              <w:bottom w:val="single" w:color="E2E8F0" w:sz="4"/>
              <w:right w:val="single" w:color="E2E8F0" w:sz="4"/>
            </w:tcBorders>
            <w:shd w:fill="0B1F3A" w:val="clear"/>
            <w:tcMar>
              <w:top w:type="dxa" w:w="120"/>
              <w:left w:type="dxa" w:w="160"/>
              <w:bottom w:type="dxa" w:w="120"/>
              <w:right w:type="dxa" w:w="160"/>
            </w:tcMar>
          </w:tcPr>
          <w:p>
            <w:r>
              <w:rPr>
                <w:rFonts w:ascii="Calibri" w:cs="Calibri" w:eastAsia="Calibri" w:hAnsi="Calibri"/>
                <w:b/>
                <w:bCs/>
                <w:color w:val="FFFFFF"/>
                <w:sz w:val="22"/>
                <w:szCs w:val="22"/>
              </w:rPr>
              <w:t xml:space="preserve">When to Use It</w:t>
            </w:r>
          </w:p>
        </w:tc>
      </w:tr>
      <w:tr>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Port As-Is</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Configuration aligns with OOTB; transfers directly with minor adjustments.</w:t>
            </w:r>
          </w:p>
        </w:tc>
      </w:tr>
      <w:tr>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Port with Modifications</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Mostly OOTB-aligned but needs adjustments for CSDM 5.0 or current best practices.</w:t>
            </w:r>
          </w:p>
        </w:tc>
      </w:tr>
      <w:tr>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Rebuild OOTB</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Custom or workaround; will be rebuilt against the OOTB pattern in the new instance.</w:t>
            </w:r>
          </w:p>
        </w:tc>
      </w:tr>
      <w:tr>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Retire</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No longer needed; will not be carried forward.</w:t>
            </w:r>
          </w:p>
        </w:tc>
      </w:tr>
      <w:tr>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PCR Required</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Genuinely needed but goes outside OOTB; requires Project Change Request and Governance Board approval.</w:t>
            </w:r>
          </w:p>
        </w:tc>
      </w:tr>
      <w:tr>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Defer to Phase 2</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Not in Phase 1 scope; documented in backlog for later.</w:t>
            </w:r>
          </w:p>
        </w:tc>
      </w:tr>
    </w:tbl>
    <w:p>
      <w:pPr>
        <w:spacing w:after="120"/>
      </w:pPr>
      <w:r>
        <w:rPr>
          <w:rFonts w:ascii="Calibri" w:cs="Calibri" w:eastAsia="Calibri" w:hAnsi="Calibri"/>
          <w:color w:val="1E293B"/>
          <w:sz w:val="22"/>
          <w:szCs w:val="22"/>
        </w:rPr>
        <w:t xml:space="preserve">Most legacy integrations end up with a mix of dispositions. Custom JDBC pipelines are typically Rebuild OOTB; standard connection details are typically Port As-Is; old custom Business Rules and Script Includes are typically Retire or Rebuild OOTB. The exercise of categorizing each item is itself valuable — it surfaces what's actually being used vs. what's been carried forward by inertia.</w:t>
      </w:r>
    </w:p>
    <w:p>
      <w:pPr>
        <w:pStyle w:val="Heading1"/>
        <w:spacing w:after="180" w:before="360"/>
      </w:pPr>
      <w:r>
        <w:rPr>
          <w:rFonts w:ascii="Calibri" w:cs="Calibri" w:eastAsia="Calibri" w:hAnsi="Calibri"/>
          <w:b/>
          <w:bCs/>
          <w:color w:val="0B1F3A"/>
          <w:sz w:val="32"/>
          <w:szCs w:val="32"/>
        </w:rPr>
        <w:t xml:space="preserve">Submission and Validation</w:t>
      </w:r>
    </w:p>
    <w:p>
      <w:pPr>
        <w:pStyle w:val="ListParagraph"/>
        <w:numPr>
          <w:ilvl w:val="0"/>
          <w:numId w:val="2"/>
        </w:numPr>
        <w:spacing w:after="60"/>
      </w:pPr>
      <w:r>
        <w:rPr>
          <w:rFonts w:ascii="Calibri" w:cs="Calibri" w:eastAsia="Calibri" w:hAnsi="Calibri"/>
          <w:color w:val="1E293B"/>
          <w:sz w:val="22"/>
          <w:szCs w:val="22"/>
        </w:rPr>
        <w:t xml:space="preserve">When a workbook is complete, save it without renaming the file.</w:t>
      </w:r>
    </w:p>
    <w:p>
      <w:pPr>
        <w:pStyle w:val="ListParagraph"/>
        <w:numPr>
          <w:ilvl w:val="0"/>
          <w:numId w:val="2"/>
        </w:numPr>
        <w:spacing w:after="60"/>
      </w:pPr>
      <w:r>
        <w:rPr>
          <w:rFonts w:ascii="Calibri" w:cs="Calibri" w:eastAsia="Calibri" w:hAnsi="Calibri"/>
          <w:color w:val="1E293B"/>
          <w:sz w:val="22"/>
          <w:szCs w:val="22"/>
        </w:rPr>
        <w:t xml:space="preserve">Send completed workbooks to your ECS Solution Architect via the engagement's secure file-share.</w:t>
      </w:r>
    </w:p>
    <w:p>
      <w:pPr>
        <w:pStyle w:val="ListParagraph"/>
        <w:numPr>
          <w:ilvl w:val="0"/>
          <w:numId w:val="2"/>
        </w:numPr>
        <w:spacing w:after="60"/>
      </w:pPr>
      <w:r>
        <w:rPr>
          <w:rFonts w:ascii="Calibri" w:cs="Calibri" w:eastAsia="Calibri" w:hAnsi="Calibri"/>
          <w:color w:val="1E293B"/>
          <w:sz w:val="22"/>
          <w:szCs w:val="22"/>
        </w:rPr>
        <w:t xml:space="preserve">ECS reviews the workbook within one business day, validates connection details, and identifies any gaps or contradictions.</w:t>
      </w:r>
    </w:p>
    <w:p>
      <w:pPr>
        <w:pStyle w:val="ListParagraph"/>
        <w:numPr>
          <w:ilvl w:val="0"/>
          <w:numId w:val="2"/>
        </w:numPr>
        <w:spacing w:after="60"/>
      </w:pPr>
      <w:r>
        <w:rPr>
          <w:rFonts w:ascii="Calibri" w:cs="Calibri" w:eastAsia="Calibri" w:hAnsi="Calibri"/>
          <w:color w:val="1E293B"/>
          <w:sz w:val="22"/>
          <w:szCs w:val="22"/>
        </w:rPr>
        <w:t xml:space="preserve">ECS schedules a 30-minute review with you to walk through the Requirements and Dependencies, confirm the R&amp;R, and align on the Port from Legacy decisions.</w:t>
      </w:r>
    </w:p>
    <w:p>
      <w:pPr>
        <w:pStyle w:val="ListParagraph"/>
        <w:numPr>
          <w:ilvl w:val="0"/>
          <w:numId w:val="2"/>
        </w:numPr>
        <w:spacing w:after="60"/>
      </w:pPr>
      <w:r>
        <w:rPr>
          <w:rFonts w:ascii="Calibri" w:cs="Calibri" w:eastAsia="Calibri" w:hAnsi="Calibri"/>
          <w:color w:val="1E293B"/>
          <w:sz w:val="22"/>
          <w:szCs w:val="22"/>
        </w:rPr>
        <w:t xml:space="preserve">After the review, ECS begins the integration build in sub-prod.</w:t>
      </w:r>
    </w:p>
    <w:p>
      <w:pPr>
        <w:pStyle w:val="ListParagraph"/>
        <w:numPr>
          <w:ilvl w:val="0"/>
          <w:numId w:val="2"/>
        </w:numPr>
        <w:spacing w:after="60"/>
      </w:pPr>
      <w:r>
        <w:rPr>
          <w:rFonts w:ascii="Calibri" w:cs="Calibri" w:eastAsia="Calibri" w:hAnsi="Calibri"/>
          <w:color w:val="1E293B"/>
          <w:sz w:val="22"/>
          <w:szCs w:val="22"/>
        </w:rPr>
        <w:t xml:space="preserve">Customer SMEs are needed for two-to-three connection-test sessions during the build (typically 30 min each).</w:t>
      </w:r>
    </w:p>
    <w:p>
      <w:pPr>
        <w:pStyle w:val="Heading1"/>
        <w:spacing w:after="180" w:before="360"/>
      </w:pPr>
      <w:r>
        <w:rPr>
          <w:rFonts w:ascii="Calibri" w:cs="Calibri" w:eastAsia="Calibri" w:hAnsi="Calibri"/>
          <w:b/>
          <w:bCs/>
          <w:color w:val="0B1F3A"/>
          <w:sz w:val="32"/>
          <w:szCs w:val="32"/>
        </w:rPr>
        <w:t xml:space="preserve">What ECS Validates Before Building</w:t>
      </w:r>
    </w:p>
    <w:p>
      <w:pPr>
        <w:spacing w:after="120"/>
      </w:pPr>
      <w:r>
        <w:rPr>
          <w:rFonts w:ascii="Calibri" w:cs="Calibri" w:eastAsia="Calibri" w:hAnsi="Calibri"/>
          <w:color w:val="1E293B"/>
          <w:sz w:val="22"/>
          <w:szCs w:val="22"/>
        </w:rPr>
        <w:t xml:space="preserve">Before starting an integration build, ECS validates the workbook for:</w:t>
      </w:r>
    </w:p>
    <w:p>
      <w:pPr>
        <w:pStyle w:val="ListParagraph"/>
        <w:numPr>
          <w:ilvl w:val="0"/>
          <w:numId w:val="3"/>
        </w:numPr>
        <w:spacing w:after="60"/>
      </w:pPr>
      <w:r>
        <w:rPr>
          <w:rFonts w:ascii="Calibri" w:cs="Calibri" w:eastAsia="Calibri" w:hAnsi="Calibri"/>
          <w:color w:val="1E293B"/>
          <w:sz w:val="22"/>
          <w:szCs w:val="22"/>
        </w:rPr>
        <w:t xml:space="preserve">Required fields populated in Requirements and Configuration Data.</w:t>
      </w:r>
    </w:p>
    <w:p>
      <w:pPr>
        <w:pStyle w:val="ListParagraph"/>
        <w:numPr>
          <w:ilvl w:val="0"/>
          <w:numId w:val="3"/>
        </w:numPr>
        <w:spacing w:after="60"/>
      </w:pPr>
      <w:r>
        <w:rPr>
          <w:rFonts w:ascii="Calibri" w:cs="Calibri" w:eastAsia="Calibri" w:hAnsi="Calibri"/>
          <w:color w:val="1E293B"/>
          <w:sz w:val="22"/>
          <w:szCs w:val="22"/>
        </w:rPr>
        <w:t xml:space="preserve">Dependencies marked as Complete (or with credible plans for the Not Started items).</w:t>
      </w:r>
    </w:p>
    <w:p>
      <w:pPr>
        <w:pStyle w:val="ListParagraph"/>
        <w:numPr>
          <w:ilvl w:val="0"/>
          <w:numId w:val="3"/>
        </w:numPr>
        <w:spacing w:after="60"/>
      </w:pPr>
      <w:r>
        <w:rPr>
          <w:rFonts w:ascii="Calibri" w:cs="Calibri" w:eastAsia="Calibri" w:hAnsi="Calibri"/>
          <w:color w:val="1E293B"/>
          <w:sz w:val="22"/>
          <w:szCs w:val="22"/>
        </w:rPr>
        <w:t xml:space="preserve">R&amp;R has been reviewed (no major disagreements).</w:t>
      </w:r>
    </w:p>
    <w:p>
      <w:pPr>
        <w:pStyle w:val="ListParagraph"/>
        <w:numPr>
          <w:ilvl w:val="0"/>
          <w:numId w:val="3"/>
        </w:numPr>
        <w:spacing w:after="60"/>
      </w:pPr>
      <w:r>
        <w:rPr>
          <w:rFonts w:ascii="Calibri" w:cs="Calibri" w:eastAsia="Calibri" w:hAnsi="Calibri"/>
          <w:color w:val="1E293B"/>
          <w:sz w:val="22"/>
          <w:szCs w:val="22"/>
        </w:rPr>
        <w:t xml:space="preserve">Port from Legacy dispositions are reasonable (not everything marked 'Port As-Is' regardless of OOTB alignment).</w:t>
      </w:r>
    </w:p>
    <w:p>
      <w:pPr>
        <w:pStyle w:val="ListParagraph"/>
        <w:numPr>
          <w:ilvl w:val="0"/>
          <w:numId w:val="3"/>
        </w:numPr>
        <w:spacing w:after="60"/>
      </w:pPr>
      <w:r>
        <w:rPr>
          <w:rFonts w:ascii="Calibri" w:cs="Calibri" w:eastAsia="Calibri" w:hAnsi="Calibri"/>
          <w:color w:val="1E293B"/>
          <w:sz w:val="22"/>
          <w:szCs w:val="22"/>
        </w:rPr>
        <w:t xml:space="preserve">Connection details parseable (URLs valid, GUIDs well-formed, etc.).</w:t>
      </w:r>
    </w:p>
    <w:p>
      <w:pPr>
        <w:pStyle w:val="ListParagraph"/>
        <w:numPr>
          <w:ilvl w:val="0"/>
          <w:numId w:val="3"/>
        </w:numPr>
        <w:spacing w:after="60"/>
      </w:pPr>
      <w:r>
        <w:rPr>
          <w:rFonts w:ascii="Calibri" w:cs="Calibri" w:eastAsia="Calibri" w:hAnsi="Calibri"/>
          <w:color w:val="1E293B"/>
          <w:sz w:val="22"/>
          <w:szCs w:val="22"/>
        </w:rPr>
        <w:t xml:space="preserve">Service account permissions documented (and ideally tested).</w:t>
      </w:r>
    </w:p>
    <w:p>
      <w:pPr>
        <w:pStyle w:val="Heading1"/>
        <w:spacing w:after="180" w:before="360"/>
      </w:pPr>
      <w:r>
        <w:rPr>
          <w:rFonts w:ascii="Calibri" w:cs="Calibri" w:eastAsia="Calibri" w:hAnsi="Calibri"/>
          <w:b/>
          <w:bCs/>
          <w:color w:val="0B1F3A"/>
          <w:sz w:val="32"/>
          <w:szCs w:val="32"/>
        </w:rPr>
        <w:t xml:space="preserve">What Happens After the Integration Is Built</w:t>
      </w:r>
    </w:p>
    <w:p>
      <w:pPr>
        <w:spacing w:after="120"/>
      </w:pPr>
      <w:r>
        <w:rPr>
          <w:rFonts w:ascii="Calibri" w:cs="Calibri" w:eastAsia="Calibri" w:hAnsi="Calibri"/>
          <w:color w:val="1E293B"/>
          <w:sz w:val="22"/>
          <w:szCs w:val="22"/>
        </w:rPr>
        <w:t xml:space="preserve">Each integration goes through three quality gates: Initial Test (single record / single device, validated against source), Sample Sync (small subset, validated against expected counts and attributes), and Production Sync (full data, validated against source-system totals). Connection-side smoke testing happens after each gate.</w:t>
      </w:r>
    </w:p>
    <w:p>
      <w:pPr>
        <w:spacing w:after="120"/>
      </w:pPr>
      <w:r>
        <w:rPr>
          <w:rFonts w:ascii="Calibri" w:cs="Calibri" w:eastAsia="Calibri" w:hAnsi="Calibri"/>
          <w:color w:val="1E293B"/>
          <w:sz w:val="22"/>
          <w:szCs w:val="22"/>
        </w:rPr>
        <w:t xml:space="preserve">By end of Sprint 1, all four integrations are running in sub-prod with full data. Sprint 2 hardens them — IRE precedence tuning, normalization rule refinement, error handling — and validates against business scenarios. Production cutover happens during the Phase 1 cutover window (Month 4).</w:t>
      </w:r>
    </w:p>
    <w:p>
      <w:pPr>
        <w:pStyle w:val="Heading1"/>
        <w:spacing w:after="180" w:before="360"/>
      </w:pPr>
      <w:r>
        <w:rPr>
          <w:rFonts w:ascii="Calibri" w:cs="Calibri" w:eastAsia="Calibri" w:hAnsi="Calibri"/>
          <w:b/>
          <w:bCs/>
          <w:color w:val="0B1F3A"/>
          <w:sz w:val="32"/>
          <w:szCs w:val="32"/>
        </w:rPr>
        <w:t xml:space="preserve">Frequently Asked Questions</w:t>
      </w:r>
    </w:p>
    <w:p>
      <w:pPr>
        <w:spacing w:after="120"/>
      </w:pPr>
      <w:r>
        <w:rPr>
          <w:rFonts w:ascii="Calibri" w:cs="Calibri" w:eastAsia="Calibri" w:hAnsi="Calibri"/>
          <w:b/>
          <w:bCs/>
          <w:color w:val="1E293B"/>
          <w:sz w:val="22"/>
          <w:szCs w:val="22"/>
        </w:rPr>
        <w:t xml:space="preserve">Q: We have integrations beyond these four (e.g., ServiceDesk Plus, Splunk, Jira). Where are those documented?</w:t>
      </w:r>
    </w:p>
    <w:p>
      <w:pPr>
        <w:spacing w:after="120"/>
      </w:pPr>
      <w:r>
        <w:rPr>
          <w:rFonts w:ascii="Calibri" w:cs="Calibri" w:eastAsia="Calibri" w:hAnsi="Calibri"/>
          <w:color w:val="1E293B"/>
          <w:sz w:val="22"/>
          <w:szCs w:val="22"/>
        </w:rPr>
        <w:t xml:space="preserve">A: Those are typically Phase 2 or Phase 3 integrations and are documented in their own workbooks at that time. The Integration Pack will grow over time. For Phase 1, the four integrations in this Pack are the foundation that everything else depends on.</w:t>
      </w:r>
    </w:p>
    <w:p>
      <w:pPr>
        <w:spacing w:after="120"/>
      </w:pPr>
      <w:r>
        <w:rPr>
          <w:rFonts w:ascii="Calibri" w:cs="Calibri" w:eastAsia="Calibri" w:hAnsi="Calibri"/>
          <w:b/>
          <w:bCs/>
          <w:color w:val="1E293B"/>
          <w:sz w:val="22"/>
          <w:szCs w:val="22"/>
        </w:rPr>
        <w:t xml:space="preserve">Q: What if our SCCM is on-prem but our Intune is cloud-only?</w:t>
      </w:r>
    </w:p>
    <w:p>
      <w:pPr>
        <w:spacing w:after="120"/>
      </w:pPr>
      <w:r>
        <w:rPr>
          <w:rFonts w:ascii="Calibri" w:cs="Calibri" w:eastAsia="Calibri" w:hAnsi="Calibri"/>
          <w:color w:val="1E293B"/>
          <w:sz w:val="22"/>
          <w:szCs w:val="22"/>
        </w:rPr>
        <w:t xml:space="preserve">A: Both can integrate to a cloud ServiceNow instance. SCCM SGC requires a MID server with network access to the SCCM SQL database. Intune SGC needs a MID server with internet access to graph.microsoft.com. If your MID servers are placed correctly, both work.</w:t>
      </w:r>
    </w:p>
    <w:p>
      <w:pPr>
        <w:spacing w:after="120"/>
      </w:pPr>
      <w:r>
        <w:rPr>
          <w:rFonts w:ascii="Calibri" w:cs="Calibri" w:eastAsia="Calibri" w:hAnsi="Calibri"/>
          <w:b/>
          <w:bCs/>
          <w:color w:val="1E293B"/>
          <w:sz w:val="22"/>
          <w:szCs w:val="22"/>
        </w:rPr>
        <w:t xml:space="preserve">Q: Can we just port everything as-is from our legacy instance to save time?</w:t>
      </w:r>
    </w:p>
    <w:p>
      <w:pPr>
        <w:spacing w:after="120"/>
      </w:pPr>
      <w:r>
        <w:rPr>
          <w:rFonts w:ascii="Calibri" w:cs="Calibri" w:eastAsia="Calibri" w:hAnsi="Calibri"/>
          <w:color w:val="1E293B"/>
          <w:sz w:val="22"/>
          <w:szCs w:val="22"/>
        </w:rPr>
        <w:t xml:space="preserve">A: Tempting, but no. Porting wholesale carries forward the customization debt that's the reason you're doing the reset. The Port from Legacy approach is deliberately disposition-based so you keep what works OOTB and rebuild what doesn't. The build time saved by lifting customizations is consumed within the first ServiceNow upgrade after go-live.</w:t>
      </w:r>
    </w:p>
    <w:p>
      <w:pPr>
        <w:spacing w:after="120"/>
      </w:pPr>
      <w:r>
        <w:rPr>
          <w:rFonts w:ascii="Calibri" w:cs="Calibri" w:eastAsia="Calibri" w:hAnsi="Calibri"/>
          <w:b/>
          <w:bCs/>
          <w:color w:val="1E293B"/>
          <w:sz w:val="22"/>
          <w:szCs w:val="22"/>
        </w:rPr>
        <w:t xml:space="preserve">Q: Who decides the disposition for legacy components — us or ECS?</w:t>
      </w:r>
    </w:p>
    <w:p>
      <w:pPr>
        <w:spacing w:after="120"/>
      </w:pPr>
      <w:r>
        <w:rPr>
          <w:rFonts w:ascii="Calibri" w:cs="Calibri" w:eastAsia="Calibri" w:hAnsi="Calibri"/>
          <w:color w:val="1E293B"/>
          <w:sz w:val="22"/>
          <w:szCs w:val="22"/>
        </w:rPr>
        <w:t xml:space="preserve">A: Joint. You bring business context (this script is required for compliance; that custom field is in active use). ECS brings OOTB knowledge (this OOTB feature replaces that custom logic; this CSDM class accommodates this attribute). Decisions surface in the Sprint 0 / Sprint 1 review session.</w:t>
      </w:r>
    </w:p>
    <w:p>
      <w:pPr>
        <w:spacing w:after="120"/>
      </w:pPr>
      <w:r>
        <w:rPr>
          <w:rFonts w:ascii="Calibri" w:cs="Calibri" w:eastAsia="Calibri" w:hAnsi="Calibri"/>
          <w:b/>
          <w:bCs/>
          <w:color w:val="1E293B"/>
          <w:sz w:val="22"/>
          <w:szCs w:val="22"/>
        </w:rPr>
        <w:t xml:space="preserve">Q: What if we discover a critical legacy customization mid-build that we forgot to port?</w:t>
      </w:r>
    </w:p>
    <w:p>
      <w:pPr>
        <w:spacing w:after="120"/>
      </w:pPr>
      <w:r>
        <w:rPr>
          <w:rFonts w:ascii="Calibri" w:cs="Calibri" w:eastAsia="Calibri" w:hAnsi="Calibri"/>
          <w:color w:val="1E293B"/>
          <w:sz w:val="22"/>
          <w:szCs w:val="22"/>
        </w:rPr>
        <w:t xml:space="preserve">A: Surface it immediately to your Solution Architect. We'll evaluate against the disposition criteria and either incorporate (if Port As-Is or Port with Modifications), route to Governance Board (if Rebuild OOTB or PCR), or defer to Phase 2. Late surface is recoverable; silent absorption is not.</w:t>
      </w:r>
    </w:p>
    <w:p>
      <w:pPr>
        <w:pStyle w:val="Heading1"/>
        <w:spacing w:after="180" w:before="360"/>
      </w:pPr>
      <w:r>
        <w:rPr>
          <w:rFonts w:ascii="Calibri" w:cs="Calibri" w:eastAsia="Calibri" w:hAnsi="Calibri"/>
          <w:b/>
          <w:bCs/>
          <w:color w:val="0B1F3A"/>
          <w:sz w:val="32"/>
          <w:szCs w:val="32"/>
        </w:rPr>
        <w:t xml:space="preserve">A Final Note</w:t>
      </w:r>
    </w:p>
    <w:p>
      <w:pPr>
        <w:spacing w:after="120"/>
      </w:pPr>
      <w:r>
        <w:rPr>
          <w:rFonts w:ascii="Calibri" w:cs="Calibri" w:eastAsia="Calibri" w:hAnsi="Calibri"/>
          <w:color w:val="1E293B"/>
          <w:sz w:val="22"/>
          <w:szCs w:val="22"/>
        </w:rPr>
        <w:t xml:space="preserve">Integrations are where the OOTB-first principle is most often abandoned. "Just one custom Script Include to make this work like our old system" — and that one custom script becomes the maintenance burden that drags every future upgrade. The Pack structure exists to prevent that pattern: every integration component is named, evaluated against OOTB, and given a deliberate disposition.</w:t>
      </w:r>
    </w:p>
    <w:p>
      <w:pPr>
        <w:spacing w:after="120"/>
      </w:pPr>
      <w:r>
        <w:rPr>
          <w:rFonts w:ascii="Calibri" w:cs="Calibri" w:eastAsia="Calibri" w:hAnsi="Calibri"/>
          <w:color w:val="1E293B"/>
          <w:sz w:val="22"/>
          <w:szCs w:val="22"/>
        </w:rPr>
        <w:t xml:space="preserve">Integrations done OOTB-first carry no maintenance debt forward. They survive ServiceNow upgrades. They support the AI capabilities you've licensed. And they hand off cleanly to your operations team after Hypercare. That is what this Pack is for.</w:t>
      </w:r>
    </w:p>
    <w:p>
      <w:pPr>
        <w:spacing w:after="120"/>
      </w:pPr>
      <w:r>
        <w:rPr>
          <w:rFonts w:ascii="Calibri" w:cs="Calibri" w:eastAsia="Calibri" w:hAnsi="Calibri"/>
          <w:b/>
          <w:bCs/>
          <w:color w:val="1E293B"/>
          <w:sz w:val="22"/>
          <w:szCs w:val="22"/>
        </w:rPr>
        <w:t xml:space="preserve">ECS Federal  ·  ServiceNow Practice</w:t>
      </w:r>
    </w:p>
    <w:sectPr>
      <w:headerReference w:type="default" r:id="rId7"/>
      <w:footerReference w:type="default" r:id="rId8"/>
      <w:pgSz w:w="12240" w:h="15840" w:orient="portrait"/>
      <w:pgMar w:top="1620" w:right="1440" w:bottom="1440" w:left="1440" w:header="720" w:footer="576"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475569"/>
        <w:sz w:val="16"/>
        <w:szCs w:val="16"/>
      </w:rPr>
      <w:t xml:space="preserve">ECS Federal · ServiceNow Practice  ·  Integration Pack</w:t>
    </w:r>
    <w:r>
      <w:rPr>
        <w:rFonts w:ascii="Calibri" w:cs="Calibri" w:eastAsia="Calibri" w:hAnsi="Calibri"/>
      </w:rPr>
      <w:t xml:space="preserve">	</w:t>
    </w:r>
    <w:r>
      <w:rPr>
        <w:rFonts w:ascii="Calibri" w:cs="Calibri" w:eastAsia="Calibri" w:hAnsi="Calibri"/>
        <w:color w:val="475569"/>
        <w:sz w:val="16"/>
        <w:szCs w:val="16"/>
      </w:rPr>
      <w:t xml:space="preserve">Page </w:t>
    </w:r>
    <w:r>
      <w:rPr>
        <w:rFonts w:ascii="Calibri" w:cs="Calibri" w:eastAsia="Calibri" w:hAnsi="Calibri"/>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drawing>
        <wp:inline distT="0" distB="0" distL="0" distR="0">
          <wp:extent cx="1047750" cy="200025"/>
          <wp:effectExtent t="0" r="0" b="0" l="0"/>
          <wp:docPr id="1" name="Logo" descr="Everforth ECS Federal logo" title="Everforth ECS Fed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47750" cy="200025"/>
                  </a:xfrm>
                  <a:prstGeom prst="rect">
                    <a:avLst/>
                  </a:prstGeom>
                </pic:spPr>
              </pic:pic>
            </a:graphicData>
          </a:graphic>
        </wp:inline>
      </w:drawing>
    </w:r>
    <w:r>
      <w:rPr>
        <w:rFonts w:ascii="Calibri" w:cs="Calibri" w:eastAsia="Calibri" w:hAnsi="Calibri"/>
      </w:rPr>
      <w:t xml:space="preserve">	</w:t>
    </w:r>
    <w:r>
      <w:rPr>
        <w:rFonts w:ascii="Calibri" w:cs="Calibri" w:eastAsia="Calibri" w:hAnsi="Calibri"/>
        <w:color w:val="475569"/>
        <w:spacing w:val="30"/>
        <w:sz w:val="18"/>
        <w:szCs w:val="18"/>
      </w:rPr>
      <w:t xml:space="preserve">Integration Pack  ·  README</w:t>
    </w:r>
  </w:p>
  <w:p>
    <w:pPr>
      <w:pBdr>
        <w:bottom w:val="single" w:color="14B8A6" w:sz="8" w:space="1"/>
      </w:pBdr>
      <w:spacing w:before="60"/>
    </w:pPr>
    <w:r>
      <w:rPr>
        <w:sz w:val="4"/>
        <w:szCs w:val="4"/>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B1F3A"/>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0B1F3A"/>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0D9488"/>
      <w:sz w:val="22"/>
      <w:szCs w:val="22"/>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endnotes" Target="endnotes.xml"/><Relationship Id="rId9" Type="http://schemas.openxmlformats.org/officeDocument/2006/relationships/image" Target="media/154846f4066746b49259fb08f2a83d17c2a67096.png"/><Relationship Id="rId14" Type="http://schemas.openxmlformats.org/officeDocument/2006/relationships/customXml" Target="../customXml/item4.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54846f4066746b49259fb08f2a83d17c2a67096.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C18AF536E63484A9B73CECC96E010FF" ma:contentTypeVersion="19" ma:contentTypeDescription="Create a new document." ma:contentTypeScope="" ma:versionID="33422ae79d2a315b8c303e9c27e5a991">
  <xsd:schema xmlns:xsd="http://www.w3.org/2001/XMLSchema" xmlns:xs="http://www.w3.org/2001/XMLSchema" xmlns:p="http://schemas.microsoft.com/office/2006/metadata/properties" xmlns:ns2="d1ffb523-bb88-49c4-b429-725e751bd64a" xmlns:ns3="ea10e7c1-45f6-45a6-9220-470b2ac38f45" targetNamespace="http://schemas.microsoft.com/office/2006/metadata/properties" ma:root="true" ma:fieldsID="02f734f998161832bfcf327b16e32379" ns2:_="" ns3:_="">
    <xsd:import namespace="d1ffb523-bb88-49c4-b429-725e751bd64a"/>
    <xsd:import namespace="ea10e7c1-45f6-45a6-9220-470b2ac38f4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ServiceDateTaken" minOccurs="0"/>
                <xsd:element ref="ns2:MediaServiceLocation" minOccurs="0"/>
                <xsd:element ref="ns2:MediaLengthInSeconds" minOccurs="0"/>
                <xsd:element ref="ns2:SN_x0020_Document_x0020_ID"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3:_dlc_DocId" minOccurs="0"/>
                <xsd:element ref="ns3:_dlc_DocIdUrl" minOccurs="0"/>
                <xsd:element ref="ns3:_dlc_DocIdPersistId"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fb523-bb88-49c4-b429-725e751bd6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SN_x0020_Document_x0020_ID" ma:index="19" nillable="true" ma:displayName="SN Document ID" ma:internalName="SN_x0020_Document_x0020_ID">
      <xsd:simpleType>
        <xsd:restriction base="dms:Text">
          <xsd:maxLength value="255"/>
        </xsd:restrictio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4d9e1cf0-734a-42bd-bffb-729eb9a511c1" ma:termSetId="09814cd3-568e-fe90-9814-8d621ff8fb84" ma:anchorId="fba54fb3-c3e1-fe81-a776-ca4b69148c4d" ma:open="true" ma:isKeyword="false">
      <xsd:complexType>
        <xsd:sequence>
          <xsd:element ref="pc:Terms" minOccurs="0" maxOccurs="1"/>
        </xsd:sequence>
      </xsd:complex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a10e7c1-45f6-45a6-9220-470b2ac38f45"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d7da812-b143-4bf6-b650-654521c20479}" ma:internalName="TaxCatchAll" ma:showField="CatchAllData" ma:web="ea10e7c1-45f6-45a6-9220-470b2ac38f45">
      <xsd:complexType>
        <xsd:complexContent>
          <xsd:extension base="dms:MultiChoiceLookup">
            <xsd:sequence>
              <xsd:element name="Value" type="dms:Lookup" maxOccurs="unbounded" minOccurs="0" nillable="true"/>
            </xsd:sequence>
          </xsd:extension>
        </xsd:complexContent>
      </xsd:complexType>
    </xsd:element>
    <xsd:element name="_dlc_DocId" ma:index="26" nillable="true" ma:displayName="Document ID Value" ma:description="The value of the document ID assigned to this item." ma:indexed="true"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N_x0020_Document_x0020_ID xmlns="d1ffb523-bb88-49c4-b429-725e751bd64a" xsi:nil="true"/>
    <TaxCatchAll xmlns="ea10e7c1-45f6-45a6-9220-470b2ac38f45" xsi:nil="true"/>
    <lcf76f155ced4ddcb4097134ff3c332f xmlns="d1ffb523-bb88-49c4-b429-725e751bd64a">
      <Terms xmlns="http://schemas.microsoft.com/office/infopath/2007/PartnerControls"/>
    </lcf76f155ced4ddcb4097134ff3c332f>
    <_dlc_DocId xmlns="ea10e7c1-45f6-45a6-9220-470b2ac38f45">DOCID-202112391-25603</_dlc_DocId>
    <_dlc_DocIdUrl xmlns="ea10e7c1-45f6-45a6-9220-470b2ac38f45">
      <Url>https://itecsfederal.sharepoint.com/teams/MissionSolutions/ISM/_layouts/15/DocIdRedir.aspx?ID=DOCID-202112391-25603</Url>
      <Description>DOCID-202112391-25603</Description>
    </_dlc_DocIdUrl>
  </documentManagement>
</p:properties>
</file>

<file path=customXml/itemProps1.xml><?xml version="1.0" encoding="utf-8"?>
<ds:datastoreItem xmlns:ds="http://schemas.openxmlformats.org/officeDocument/2006/customXml" ds:itemID="{78FC6B0A-289E-4EDB-9A25-8B97B5024513}"/>
</file>

<file path=customXml/itemProps2.xml><?xml version="1.0" encoding="utf-8"?>
<ds:datastoreItem xmlns:ds="http://schemas.openxmlformats.org/officeDocument/2006/customXml" ds:itemID="{C553A538-99E8-44CD-B2FD-7535889569D4}"/>
</file>

<file path=customXml/itemProps3.xml><?xml version="1.0" encoding="utf-8"?>
<ds:datastoreItem xmlns:ds="http://schemas.openxmlformats.org/officeDocument/2006/customXml" ds:itemID="{698F563C-C7AA-48D6-8E37-4067F2D358A9}"/>
</file>

<file path=customXml/itemProps4.xml><?xml version="1.0" encoding="utf-8"?>
<ds:datastoreItem xmlns:ds="http://schemas.openxmlformats.org/officeDocument/2006/customXml" ds:itemID="{7F23B62F-EF22-4603-9373-1F7D7A0408B7}"/>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Integration Accelerator Pack — README</dc:title>
  <dc:creator>ECS Federal · ServiceNow Practice</dc:creator>
  <cp:lastModifiedBy>Un-named</cp:lastModifiedBy>
  <cp:revision>1</cp:revision>
  <dcterms:created xsi:type="dcterms:W3CDTF">2026-05-03T19:49:04Z</dcterms:created>
  <dcterms:modified xsi:type="dcterms:W3CDTF">2026-05-03T19:49:04Z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0x010100DC18AF536E63484A9B73CECC96E010FF</vt:lpwstr>
  </property>
  <property fmtid="{D5CDD505-2E9C-101B-9397-08002B2CF9AE}" pid="3" name="_dlc_DocIdItemGuid">
    <vt:lpwstr>5d03d55a-7f76-4674-a684-7c9f5f282ebc</vt:lpwstr>
  </property>
</Properties>
</file>