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CLIENT DELIVERABLE - ARCHITECTURE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ServiceNow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Platform Architecture &amp; CSDM Alignment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The target platform topology and the CSDM-aligned data foundation - Month 1 deliverable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Connection Project Sponsor, Technical Lead &amp; Platform Team; ECS Delivery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SOW v2.0 - CSDM &amp; CMDB workshop decks - CMDB_CSDM accelerator pack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DEL-CONN-ARCH-01     ·     Version: 1.0 (template)     ·     Status: Template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ECS Federal - ServiceNow Practice - Confidential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is the Month 1 architecture deliverable. The Solution Architect completes it from the CSDM and CMDB workshop decisions and the CMDB_CSDM accelerator pack. It records the target platform topology and the CSDM-aligned data foundation that everything downstream depends on. Replace [bracketed] placeholders and insert the diagrams where noted.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A healthy, CSDM-aligned CMDB from day one is the prerequisite for CI-based change risk scoring and trustworthy AI ROI. This document is where that foundation is defined and signed off.</w:t>
      </w:r>
    </w:p>
    <w:p>
      <w:pPr>
        <w:pStyle w:val="Heading1"/>
      </w:pPr>
      <w:r>
        <w:t>1.  Architecture Overview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Connection is exiting a domain-separated shared instance and standing up a dedicated, governed platform. The target is OOTB-aligned, upgrade-friendly, and AI-ready.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Dedicated instance (exit domain separation) with sub-production and production environments.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SSO (SAML 2.0) with Connection's IdP; users/groups via AD/LDAP scheduled import.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MID Server for integrations and Discovery; OOTB Service Graph Connectors for SCCM and Intune.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[Insert architecture topology diagram here].</w:t>
      </w:r>
    </w:p>
    <w:p>
      <w:pPr>
        <w:pStyle w:val="Heading1"/>
      </w:pPr>
      <w:r>
        <w:t>2.  Platform Topology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Detail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Production instance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[instance URL]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Governed; cutover Week 16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Sub-production instance(s)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[dev / test URLs]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Build + UAT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Identity / SSO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SAML 2.0 - [IdP]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See SSO accelerator pack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Directory import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 / LDAP scheduled import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Users, groups, departments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MID Server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[host]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Discovery + integrations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Graph Connectors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SCCM, Intune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CI data into CMDB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Telephony / CTI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Vonage via OpenFrame + Interactions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1 inbound voice</w:t>
            </w:r>
          </w:p>
        </w:tc>
      </w:tr>
    </w:tbl>
    <w:p>
      <w:pPr>
        <w:spacing w:after="40"/>
      </w:pPr>
    </w:p>
    <w:p>
      <w:pPr>
        <w:pStyle w:val="Heading1"/>
      </w:pPr>
      <w:r>
        <w:t>3.  CSDM Alignment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Configuration follows the Common Service Data Model (CSDM 5.0). The table below records the in-scope domains and the service taxonomy agreed in the CSDM workshop.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CSDM Domain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In scope for Phase 1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 / decisions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Foundation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Core companies, locations, users, groups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Design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Business/Application services, service taxonomy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Manage Technical / Build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CI classes, relationships from Discovery/SGC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Sell / Consume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[as needed]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offerings where applicable</w:t>
            </w:r>
          </w:p>
        </w:tc>
      </w:tr>
    </w:tbl>
    <w:p>
      <w:pPr>
        <w:spacing w:after="40"/>
      </w:pPr>
    </w:p>
    <w:p>
      <w:pPr>
        <w:pStyle w:val="Heading2"/>
      </w:pPr>
      <w:r>
        <w:t>In-scope CI classes &amp; relationships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CI Class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Key relationships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[Server / Computer]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SCCM / Discovery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Runs on, Depends on, Hosted on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[Application / Service]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Workshop / CSDM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Depends on, Used by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[Network / other]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Discovery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</w:tbl>
    <w:p>
      <w:pPr>
        <w:spacing w:after="40"/>
      </w:pPr>
    </w:p>
    <w:p>
      <w:pPr>
        <w:pStyle w:val="Heading1"/>
      </w:pPr>
      <w:r>
        <w:t>4.  CMDB &amp; Data Sources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Discovery: leverage existing configuration where it does not introduce technical debt.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Service Graph Connectors: SCCM and Intune as the authoritative CI sources for in-scope classes.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IRE / reconciliation rules govern multi-source CI data; CI ownership and stewardship per OOTB fields.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CMDB Health: completeness, staleness, and compliance thresholds set to support risk scoring.</w:t>
      </w:r>
    </w:p>
    <w:p>
      <w:pPr>
        <w:pStyle w:val="Heading1"/>
      </w:pPr>
      <w:r>
        <w:t>5.  Change Risk Scoring Readiness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With a CSDM-aligned CMDB, change requests inherit CI context, enabling CI-based change risk scoring and a more targeted CAB. This section records the data conditions required and confirms readiness.</w:t>
      </w:r>
    </w:p>
    <w:p>
      <w:pPr>
        <w:pStyle w:val="Heading1"/>
      </w:pPr>
      <w:r>
        <w:t>6.  AI Readiness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OOTB, CSDM-aligned foundation established here is the architectural prerequisite for the AI capabilities Connection has invested in (Predictive Intelligence in Phase 1; Now Assist and Agentic AI in later phases). No customization that compromises upgradeability is introduced to reach it.</w:t>
      </w:r>
    </w:p>
    <w:p>
      <w:pPr>
        <w:pStyle w:val="Heading1"/>
      </w:pPr>
      <w:r>
        <w:t>7.  Architecture Decisions Log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Decision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Option chosen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Rationale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[e.g., CSDM reference model]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[chosen]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[why]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 ]</w:t>
            </w:r>
          </w:p>
        </w:tc>
      </w:tr>
    </w:tbl>
    <w:p>
      <w:pPr>
        <w:spacing w:after="40"/>
      </w:pP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Sign-off: this document is reviewed and accepted by the Connection Technical Lead and Project Sponsor before Month 2 build proceeds.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- Confidential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Connection - Architecture &amp; CSDM Alignment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