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 Demo Setup Checklist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CSDM layers populated in DEV: Business Capability, Business Application, Technical Service, Application Service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At least 2 Application Services mapped with CIs and relationships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Service Viewer accessible with at least one service map visible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Incident with a mapped CI to demonstrate service impact</w:t>
      </w:r>
    </w:p>
    <w:p>
      <w:pPr>
        <w:pStyle w:val="Heading1"/>
      </w:pPr>
      <w:r>
        <w:t>2.  Demo Script</w:t>
      </w:r>
    </w:p>
    <w:p>
      <w:pPr>
        <w:pStyle w:val="Heading2"/>
      </w:pPr>
      <w:r>
        <w:t>Act 1 — CSDM Structure Overview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Step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Narration / Action</w:t>
            </w:r>
          </w:p>
        </w:tc>
      </w:tr>
      <w:t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[ACTION] Navigate to CSDM &gt; Business Capabilities. Show the business capability hierarchy.</w:t>
            </w:r>
          </w:p>
        </w:tc>
      </w:tr>
      <w:t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[NARRATION] CSDM gives you a single data model that connects your business services to the technology underneath them. When a CI fails, you immediately know which business services are affected.</w:t>
            </w:r>
          </w:p>
        </w:tc>
      </w:tr>
      <w:t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[ACTION] Navigate from a Business Application down to its Technical Services and CIs.</w:t>
            </w:r>
          </w:p>
        </w:tc>
      </w:tr>
      <w:t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[NARRATION] This layered model is entirely OOTB. We configured it during the CMDB workshops — no custom tables, no custom relationships.</w:t>
            </w:r>
          </w:p>
        </w:tc>
      </w:tr>
    </w:tbl>
    <w:p>
      <w:pPr>
        <w:spacing w:after="40"/>
      </w:pPr>
    </w:p>
    <w:p>
      <w:pPr>
        <w:pStyle w:val="Heading2"/>
      </w:pPr>
      <w:r>
        <w:t>Act 2 — Service Map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Step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Narration / Action</w:t>
            </w:r>
          </w:p>
        </w:tc>
      </w:tr>
      <w:t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[ACTION] Open a configured Application Service in the Service Viewer.</w:t>
            </w:r>
          </w:p>
        </w:tc>
      </w:tr>
      <w:t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[NARRATION] This is an OOTB Service Map. It shows every CI that supports this service and how they are connected. This map was populated by Discovery — not manually.</w:t>
            </w:r>
          </w:p>
        </w:tc>
      </w:tr>
      <w:t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[ACTION] Click on a CI in the map. Show the CI record with its attributes and related incidents.</w:t>
            </w:r>
          </w:p>
        </w:tc>
      </w:tr>
      <w:t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[PAUSE] Are there services in your environment where you do not know all the underlying dependencies? That is exactly the gap CSDM and Discovery solves.</w:t>
            </w:r>
          </w:p>
        </w:tc>
      </w:tr>
    </w:tbl>
    <w:p>
      <w:pPr>
        <w:spacing w:after="40"/>
      </w:pPr>
    </w:p>
    <w:p>
      <w:pPr>
        <w:pStyle w:val="Heading2"/>
      </w:pPr>
      <w:r>
        <w:t>Act 3 — Service Impact on Incidents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Step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Narration / Action</w:t>
            </w:r>
          </w:p>
        </w:tc>
      </w:tr>
      <w:t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[ACTION] Open an incident linked to a mapped CI. Show the 'Affected Services' related list.</w:t>
            </w:r>
          </w:p>
        </w:tc>
      </w:tr>
      <w:t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[NARRATION] Because the CI is mapped to a service, ServiceNow automatically shows which services are impacted by this incident. Your major incident team can see business impact in seconds.</w:t>
            </w:r>
          </w:p>
        </w:tc>
      </w:tr>
      <w:t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[ACTION] Show the Business Service Health dashboard (if PA is configured).</w:t>
            </w:r>
          </w:p>
        </w:tc>
      </w:tr>
      <w:t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[NARRATION] Performance Analytics uses the CSDM model to show service health over time. This is the executive view your leadership has been asking for.</w:t>
            </w:r>
          </w:p>
        </w:tc>
      </w:tr>
    </w:tbl>
    <w:p>
      <w:pPr>
        <w:spacing w:after="40"/>
      </w:pPr>
    </w:p>
    <w:p>
      <w:pPr>
        <w:pStyle w:val="Heading1"/>
      </w:pPr>
      <w:r>
        <w:t>3.  Anticipated Objections During Demo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Objection</w:t>
            </w:r>
          </w:p>
        </w:tc>
        <w:tc>
          <w:tcPr>
            <w:tcW w:type="dxa" w:w="86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Response</w:t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'We do not have time to map all our services'</w:t>
            </w:r>
          </w:p>
        </w:tc>
        <w:tc>
          <w:tcPr>
            <w:tcW w:type="dxa" w:w="86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We prioritize the top 10-15 critical services in Sprint 4. Discovery automates CI population. Service Mapping completes the picture. You do not need 100% coverage at go-live — you need the right coverage.</w:t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'Our service model is too complex for CSDM'</w:t>
            </w:r>
          </w:p>
        </w:tc>
        <w:tc>
          <w:tcPr>
            <w:tcW w:type="dxa" w:w="86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CSDM is designed for enterprise complexity. It handles multi-tier, multi-cloud architectures. Walk us through your most complex service and we will show you how it maps.</w:t>
            </w:r>
          </w:p>
        </w:tc>
      </w:tr>
    </w:tbl>
    <w:p>
      <w:pPr>
        <w:spacing w:after="40"/>
      </w:pPr>
    </w:p>
    <w:p>
      <w:pPr>
        <w:pStyle w:val="Heading1"/>
      </w:pPr>
      <w:r>
        <w:t>4.  Demo Reset Steps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No data changes needed — demo was read-only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Log out of all demo accounts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· ServiceNow Practice  ·  Internal Use Only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verforth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2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Internal · INT-DS-05 CSDM Demo Script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