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Demo Setup Checklist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Performance Analytics (PA) Premium activated and licensed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At least 3 indicators configured: MTTR, Incident Volume by Priority, SLA Compliance Rate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At least 4 weeks of historical data collected (PA requires historical data to show trends)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Executive Dashboard and Operations Dashboard configured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Test user with PA Viewer role and one with PA Admin role</w:t>
      </w:r>
    </w:p>
    <w:p>
      <w:pPr>
        <w:pStyle w:val="Heading1"/>
      </w:pPr>
      <w:r>
        <w:t>2.  Demo Script</w:t>
      </w:r>
    </w:p>
    <w:p>
      <w:pPr>
        <w:pStyle w:val="Heading2"/>
      </w:pPr>
      <w:r>
        <w:t>Act 1 — Executive Dashboard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Narration / Action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Navigate to the Executive Dashboard. Show KPI tiles with trend sparklines.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[NARRATION] This is the view your leadership has been asking for. MTTR, SLA compliance, incident volume — all live, all from ServiceNow data, no manual reporting.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Click on the MTTR KPI tile. Drill into the underlying data.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[NARRATION] Every number on this dashboard is drillable. Click any KPI and you see the individual records behind it. No black box.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[PAUSE] What are the 5 metrics your leadership reviews every month? Those are the indicators we build in Sprint 6.</w:t>
            </w:r>
          </w:p>
        </w:tc>
      </w:tr>
    </w:tbl>
    <w:p>
      <w:pPr>
        <w:spacing w:after="40"/>
      </w:pPr>
    </w:p>
    <w:p>
      <w:pPr>
        <w:pStyle w:val="Heading2"/>
      </w:pPr>
      <w:r>
        <w:t>Act 2 — Operations Dashboard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Narration / Action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Navigate to the Operations Dashboard. Show the incident age distribution, queue depth, and group performance widgets.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[NARRATION] This is the view your service desk managers use daily. They see team performance, workload distribution, and aging incidents — all from a single OOTB dashboard.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Show a trend chart with a configurable date range filter.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[NARRATION] Managers can change the date range, filter by group or category, and export the chart — all without admin access or report requests.</w:t>
            </w:r>
          </w:p>
        </w:tc>
      </w:tr>
    </w:tbl>
    <w:p>
      <w:pPr>
        <w:spacing w:after="40"/>
      </w:pPr>
    </w:p>
    <w:p>
      <w:pPr>
        <w:pStyle w:val="Heading2"/>
      </w:pPr>
      <w:r>
        <w:t>Act 3 — Indicator Breakdown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Narration / Action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Open the PA indicator 'Incident Resolution SLA Compliance'. Show the breakdown by assignment group.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[NARRATION] Every indicator can be broken down by any dimension — assignment group, category, location, priority. This is the 'why' behind the headline number.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Show the threshold configuration — Green/Amber/Red bands.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[NARRATION] Threshold bands are configurable to your targets. When a KPI drops below your Red threshold, a notification fires automatically.</w:t>
            </w:r>
          </w:p>
        </w:tc>
      </w:tr>
    </w:tbl>
    <w:p>
      <w:pPr>
        <w:spacing w:after="40"/>
      </w:pPr>
    </w:p>
    <w:p>
      <w:pPr>
        <w:pStyle w:val="Heading1"/>
      </w:pPr>
      <w:r>
        <w:t>3.  Anticipated Objections During Demo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Objection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Response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already have Power BI — why would we use PA?'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PA and Power BI serve different purposes. PA is the operational view — live data, drill-through, in-platform. Power BI is for cross-platform analytics. Most organizations use both: PA for ServiceNow operations, Power BI for portfolio reporting. ServiceNow has an OOTB Power BI connector.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do not have enough historical data for meaningful trends'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PA begins collecting data from activation. At Sprint 6, you will have 16 weeks of data — enough for meaningful trend analysis. We can also back-populate from existing records using the PA data collection job.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need custom calculations our analysts built in Excel'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PA supports calculated indicators and breakdown cross-tabulations. Walk us through the calculation — most Excel models translate directly. For genuinely complex statistical models, PA can export data to Excel or Power BI via JDBC.</w:t>
            </w:r>
          </w:p>
        </w:tc>
      </w:tr>
    </w:tbl>
    <w:p>
      <w:pPr>
        <w:spacing w:after="40"/>
      </w:pPr>
    </w:p>
    <w:p>
      <w:pPr>
        <w:pStyle w:val="Heading1"/>
      </w:pPr>
      <w:r>
        <w:t>4.  Demo Reset Steps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No reset needed — PA demo is read-only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Log out of demo accounts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INT-DS-07 Performance Analytics Demo Script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