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before="800" w:after="160"/>
      </w:pPr>
      <w:r>
        <w:rPr>
          <w:rFonts w:ascii="Calibri" w:hAnsi="Calibri"/>
          <w:b/>
          <w:color w:val="14B8A6"/>
          <w:spacing w:val="60"/>
          <w:sz w:val="18"/>
        </w:rPr>
        <w:t>CONNECTION EXECUTION LIBRARY - START HERE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Connection Engagement</w:t>
      </w:r>
    </w:p>
    <w:p>
      <w:pPr>
        <w:spacing w:before="0" w:after="40"/>
      </w:pPr>
      <w:r>
        <w:rPr>
          <w:rFonts w:ascii="Calibri" w:hAnsi="Calibri"/>
          <w:b/>
          <w:color w:val="0B1F3A"/>
          <w:sz w:val="56"/>
        </w:rPr>
        <w:t>Execution Guide (Start Here)</w:t>
      </w:r>
    </w:p>
    <w:p>
      <w:pPr>
        <w:spacing w:before="120" w:after="400"/>
      </w:pPr>
      <w:r>
        <w:rPr>
          <w:rFonts w:ascii="Calibri" w:hAnsi="Calibri"/>
          <w:i/>
          <w:color w:val="0D9488"/>
          <w:sz w:val="24"/>
        </w:rPr>
        <w:t>What to use, by role and by phase - the navigator for this library</w:t>
      </w:r>
    </w:p>
    <w:p>
      <w:pPr>
        <w:pBdr>
          <w:bottom w:val="single" w:sz="12" w:space="1" w:color="14B8A6"/>
        </w:pBdr>
        <w:spacing w:before="0" w:after="160"/>
      </w:pPr>
    </w:p>
    <w:p>
      <w:pPr>
        <w:spacing w:after="40"/>
      </w:pPr>
      <w:r>
        <w:rPr>
          <w:rFonts w:ascii="Calibri" w:hAnsi="Calibri"/>
          <w:b/>
          <w:i w:val="0"/>
          <w:color w:val="0B1F3A"/>
          <w:sz w:val="22"/>
        </w:rPr>
        <w:t>ECS Federal - ServiceNow Practice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Audience: ECS delivery team and Connection - all roles</w:t>
      </w:r>
    </w:p>
    <w:p>
      <w:pPr>
        <w:spacing w:after="40"/>
      </w:pPr>
      <w:r>
        <w:rPr>
          <w:rFonts w:ascii="Calibri" w:hAnsi="Calibri"/>
          <w:b w:val="0"/>
          <w:i w:val="0"/>
          <w:color w:val="475569"/>
          <w:sz w:val="20"/>
        </w:rPr>
        <w:t>Companion to: Library Index - every artifact in this package</w:t>
      </w:r>
    </w:p>
    <w:p>
      <w:pPr>
        <w:spacing w:after="80"/>
      </w:pPr>
      <w:r>
        <w:rPr>
          <w:rFonts w:ascii="Calibri" w:hAnsi="Calibri"/>
          <w:b w:val="0"/>
          <w:i w:val="0"/>
          <w:color w:val="475569"/>
          <w:sz w:val="20"/>
        </w:rPr>
        <w:t>Document ID: LIB-CONN-GUIDE-01     ·     Version: 1.0     ·     Status: Released</w:t>
      </w:r>
    </w:p>
    <w:p>
      <w:pPr>
        <w:spacing w:after="280"/>
      </w:pPr>
      <w:r>
        <w:rPr>
          <w:rFonts w:ascii="Calibri" w:hAnsi="Calibri"/>
          <w:b w:val="0"/>
          <w:i/>
          <w:color w:val="475569"/>
          <w:sz w:val="20"/>
        </w:rPr>
        <w:t>ECS Federal - ServiceNow Practice - Confidential</w:t>
      </w:r>
    </w:p>
    <w:p>
      <w:r>
        <w:br w:type="page"/>
      </w:r>
    </w:p>
    <w:p>
      <w:pPr>
        <w:pStyle w:val="Heading1"/>
      </w:pPr>
      <w:r>
        <w:t>How to Use This Library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This is the static, execution-ready library for the Connection engagement. It contains the finished deliverables only - no build files. Find your role or your phase below and it points you to exactly what to use. The full catalog is in the Library Index. Folders: 01_Onboarding, 02_Delivery (with Workshops, Accelerator_Packs, Knowledge_Transfer).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Don't read the whole library. Read your row. Each role and each phase below lists only what you need.</w:t>
      </w:r>
    </w:p>
    <w:p>
      <w:pPr>
        <w:pStyle w:val="Heading1"/>
      </w:pPr>
      <w:r>
        <w:t>1.  By Role</w:t>
      </w:r>
    </w:p>
    <w:p>
      <w:pPr>
        <w:pStyle w:val="Heading2"/>
      </w:pPr>
      <w:r>
        <w:t>ECS team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Start with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throughout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Engagement Manager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Team Onboarding &amp; Vision; Engagement Delivery Guidelines; Project Plan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Exec Dashboard; Dependency Tracker; RAID; Deliverables Matrix; Project Controls; Sprint Operating Kit; RACI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Solution Architect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Delivery Guidelines; Architecture &amp; CSDM Alignment; Accelerator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Workshop decks; SIT Scripts;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Process Consultant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Facilitation Guide; Workshop decks + Pre-Reads; Demo Scripts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Sprint Demo template; Scope Notes; UAT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Technical Consultant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Accelerator Packs; Integration &amp; Vonage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Config User Stories; SIT Scripts; Demo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Practice Lead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Engagement Delivery Guidelines (trust-but-verify); RACI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 Dashboard; Delivery Readiness Audit; Project Controls</w:t>
            </w:r>
          </w:p>
        </w:tc>
      </w:tr>
    </w:tbl>
    <w:p>
      <w:pPr>
        <w:spacing w:after="40"/>
      </w:pPr>
    </w:p>
    <w:p>
      <w:pPr>
        <w:pStyle w:val="Heading2"/>
      </w:pPr>
      <w:r>
        <w:t>Connection (client)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Role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Start with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Use throughout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Executive Sponsor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Kickoff Deck; Governance Charter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Exec Dashboard; Dependency Tracker; Go-Live Readiness; sign-offs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Product Owner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Governance Charter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Pre-Reads; Acceptance &amp; Sign-off Log; UAT results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Project Manager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Client Onboarding Guide; Dependency Tracker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Onboarding Checklist; Workshop schedule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Technical Lead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Architecture &amp; CSDM Alignment; Integration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Dependency Tracker (env/access/MID/Vonage);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SMEs / Process Owners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Pre-Reads for their area; Accelerator Packs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decks; UAT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Testers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Guidebook for End Users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UAT End-to-End Test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Platform Admins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Administrator Guide &amp; KT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Operational Handoff Pack</w:t>
            </w:r>
          </w:p>
        </w:tc>
      </w:tr>
    </w:tbl>
    <w:p>
      <w:pPr>
        <w:spacing w:after="40"/>
      </w:pPr>
    </w:p>
    <w:p>
      <w:pPr>
        <w:pStyle w:val="Heading1"/>
      </w:pPr>
      <w:r>
        <w:t>2.  By Phase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Phase (Sprint / Weeks)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What's in play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0B1F3A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Key artifacts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Sprint 0 - Setup (Wks 1-2)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Onboard, govern, set dependencies, collect data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Onboarding (client + internal); Governance Charter; Project Plan; Onboarding Checklist; Dependency Tracker; Accelerator Packs (distribute); RACI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1 Build (Sprints 1-2)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Foundation, CSDM, CMDB, Discovery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 + Pre-Reads (PF/CSDM/CMDB/Discovery/SGC); Architecture &amp; CSDM Alignment; Config User Stories; Sprint Operating Kit; Demo Scripts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2 Build (Sprints 3-5)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ITSM Core, Change/CAB, Catalog, EX, Integrations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Workshop decks + Pre-Reads; Config User Stories; Accelerator Packs; Vonage CTI pack + workshop; Sprint Demo template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3 Deliver (Sprints 6-7)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HAM, analytics, SIT, UAT, cutover prep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SIT Scripts + Test Data Plan; UAT Test Scripts; UAT Guidebook; Go-Live Readiness Checklist; Cutover Runbook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Go-Live (Wk 16)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Governed cutover to production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Cutover Runbook; Go-Live Readiness Checklist; sign-offs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Stage 4 Close (Sprints 8)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Hypercare, KT, handover, close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Admin Guide &amp; KT; Train-the-Trainer; Operational Handoff Pack; Lessons Learned (produced at close)</w:t>
            </w:r>
          </w:p>
        </w:tc>
      </w:tr>
      <w:tr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Ongoing / Governance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Run the engagement transparently</w:t>
            </w:r>
          </w:p>
        </w:tc>
        <w:tc>
          <w:tcPr>
            <w:tcW w:type="dxa" w:w="4493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shd w:val="clear" w:color="auto" w:fill="F8FAFC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Report; Exec Dashboard; RAID; Project Controls (PCR/acceptance/decisions/assumptions); Deliverables Matrix; Delivery Readiness Audit</w:t>
            </w:r>
          </w:p>
        </w:tc>
      </w:tr>
    </w:tbl>
    <w:p>
      <w:pPr>
        <w:spacing w:after="40"/>
      </w:pPr>
    </w:p>
    <w:p>
      <w:pPr>
        <w:pStyle w:val="Heading1"/>
      </w:pPr>
      <w:r>
        <w:t>3.  The Backlog (everything is a story)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Two workbooks form the complete project backlog - import both to ServiceNow Agile: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Configuration User Stories (141) - the buildable decisions, with Given/When/Then acceptance criteria.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Project Delivery Stories (55) - documentation, training, governance, testing, go-live, hypercare - so the whole project is visible, not just the build.</w:t>
      </w:r>
    </w:p>
    <w:p>
      <w:pPr>
        <w:spacing w:after="160" w:before="0"/>
      </w:pPr>
      <w:r>
        <w:rPr>
          <w:rFonts w:ascii="Calibri" w:hAnsi="Calibri"/>
          <w:color w:val="1A1A1A"/>
          <w:sz w:val="22"/>
        </w:rPr>
        <w:t>UAT End-to-End Test Scripts trace directly back to the stories; the Story Coverage tab shows where each is validated.</w:t>
      </w:r>
    </w:p>
    <w:p>
      <w:pPr>
        <w:pBdr>
          <w:top w:val="single" w:sz="4" w:space="4" w:color="2E74B5"/>
          <w:left w:val="single" w:sz="4" w:space="4" w:color="2E74B5"/>
          <w:bottom w:val="single" w:sz="4" w:space="4" w:color="2E74B5"/>
          <w:right w:val="single" w:sz="4" w:space="4" w:color="2E74B5"/>
        </w:pBdr>
        <w:shd w:val="clear" w:color="auto" w:fill="EAF1F8"/>
        <w:spacing w:before="120" w:after="160"/>
      </w:pPr>
      <w:r>
        <w:rPr>
          <w:rFonts w:ascii="Calibri" w:hAnsi="Calibri"/>
          <w:b/>
          <w:color w:val="0B1F3A"/>
          <w:sz w:val="20"/>
        </w:rPr>
        <w:t>This library is a snapshot. The live, reproducible baseline lives in the ECS working framework; updates are made there and re-exported.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04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360"/>
      </w:tabs>
    </w:pPr>
    <w:r>
      <w:rPr>
        <w:rFonts w:ascii="Calibri" w:hAnsi="Calibri"/>
        <w:color w:val="475569"/>
        <w:sz w:val="16"/>
      </w:rPr>
      <w:t>ECS Federal - ServiceNow Practice - Confidential</w:t>
    </w:r>
    <w:r>
      <w:tab/>
    </w:r>
    <w:r>
      <w:rPr>
        <w:rFonts w:ascii="Calibri" w:hAnsi="Calibri"/>
        <w:color w:val="475569"/>
        <w:sz w:val="16"/>
      </w:rPr>
      <w:t xml:space="preserve">Page </w:t>
    </w:r>
    <w:r>
      <w:rPr>
        <w:rFonts w:ascii="Calibri" w:hAnsi="Calibri"/>
        <w:color w:val="475569"/>
        <w:sz w:val="16"/>
      </w:rPr>
      <w:fldChar w:fldCharType="begin"/>
      <w:instrText>PAGE</w:instrText>
      <w:fldChar w:fldCharType="separate"/>
      <w:fldChar w:fldCharType="end"/>
    </w:r>
    <w:r>
      <w:rPr>
        <w:rFonts w:ascii="Calibri" w:hAnsi="Calibri"/>
        <w:color w:val="475569"/>
        <w:sz w:val="16"/>
      </w:rPr>
      <w:t xml:space="preserve"> of </w:t>
    </w:r>
    <w:r>
      <w:rPr>
        <w:rFonts w:ascii="Calibri" w:hAnsi="Calibri"/>
        <w:color w:val="475569"/>
        <w:sz w:val="16"/>
      </w:rPr>
      <w:fldChar w:fldCharType="begin"/>
      <w:instrText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color="14B8A6" w:sz="8" w:space="1"/>
      </w:pBdr>
      <w:tabs>
        <w:tab w:val="right" w:pos="9360"/>
      </w:tabs>
    </w:pPr>
    <w:r>
      <w:drawing>
        <wp:inline xmlns:a="http://schemas.openxmlformats.org/drawingml/2006/main" xmlns:pic="http://schemas.openxmlformats.org/drawingml/2006/picture">
          <wp:extent cx="960120" cy="1789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178931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color w:val="475569"/>
        <w:spacing w:val="30"/>
        <w:sz w:val="18"/>
      </w:rPr>
      <w:t>Connection - Execution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1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0B1F3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