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- DELIVERY GUIDELINES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Connection Engagement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Delivery Guidelines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How we operate on Connection - the discipline, the gates, and the conversations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-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delivery team - EM, Solution Architect, Process Consultant, Technical Consultant(s), Practice Lead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Team Onboarding &amp; Vision - OOTB Delivery Playbook - Internal Governance Operating Guide - SOW v2.0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INT-CONN-GDL-01     ·     Version: 1.0     ·     Status: Draft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These are the operating rules for the Connection engagement - the practical mechanics behind the OOTB-first discipline. Read the Team Onboarding &amp; Vision Guide first for the why; this document is the how. It is the engagement-specific companion to the OOTB Delivery Playbook and the Internal Governance Operating Guide; where this document and the SOW differ, the SOW (the Project Charter) governs.</w:t>
      </w:r>
    </w:p>
    <w:p>
      <w:pPr>
        <w:pStyle w:val="Heading1"/>
      </w:pPr>
      <w:r>
        <w:t>1.  The OOTB-First Operating Model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Default to OOTB. Every in-scope build begins with a demonstration of standard ServiceNow functionality. A delta from the baseline is acceptable only when it is (a) tied to a documented business outcome, (b) not achievable by configuring an OOTB capability, and (c) signed off through the two-key decision. We present the OOTB alternative first, every time - including to a Sponsor who asks for the legacy pattern.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Frame outcomes, not features, with the customer: "Your outcome is faster change cycle time; OOTB delivers it; the legacy seven-step workflow does not."</w:t>
      </w:r>
    </w:p>
    <w:p>
      <w:pPr>
        <w:pStyle w:val="Heading1"/>
      </w:pPr>
      <w:r>
        <w:t>2.  The Rule of Three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Before anything is treated as a customization, it must fail all three tests. If a requirement can be met by any of these, it is a standard story - no Customization Request needed: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Test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If it fits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Configuration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Build it as a standard story; straight to the sprint.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UI Policy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Build it as a standard story; straight to the sprint.</w:t>
            </w:r>
          </w:p>
        </w:tc>
      </w:tr>
      <w:tr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Flow Designer (no-code)</w:t>
            </w:r>
          </w:p>
        </w:tc>
        <w:tc>
          <w:tcPr>
            <w:tcW w:type="dxa" w:w="449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Build it as a standard story; straight to the sprint.</w:t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rFonts w:ascii="Calibri" w:hAnsi="Calibri"/>
          <w:i/>
          <w:color w:val="1A1A1A"/>
          <w:sz w:val="22"/>
        </w:rPr>
        <w:t>Only a requirement that fails all three is a customization, and customizations follow the deviation path below.</w:t>
      </w:r>
    </w:p>
    <w:p>
      <w:pPr>
        <w:pStyle w:val="Heading1"/>
      </w:pPr>
      <w:r>
        <w:t>3.  The Deviation Path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When a requirement fails the Rule of Three, the Solution Architect drafts an impact assessment - business need, OOTB alternatives considered, scope and budget estimate, and upgrade impact - before any decision is made. The request then goes to the two-key decision: the Connection Sponsor approves the business need, and the ECS Practice Lead approves the technical path. Both keys are required.</w:t>
      </w:r>
    </w:p>
    <w:p>
      <w:pPr>
        <w:pStyle w:val="Heading2"/>
      </w:pPr>
      <w:r>
        <w:t>Service levels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Two-key decision within 48 hours of the impact assessment being published.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Total wall-clock time from surface to decision: 5 business days maximum.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If it is blocking active sprint work, the SA flags it urgent and the SLAs compress to 24 hours total.</w:t>
      </w:r>
    </w:p>
    <w:p>
      <w:pPr>
        <w:pStyle w:val="Heading1"/>
      </w:pPr>
      <w:r>
        <w:t>4.  The Customization Council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Council gates every Customization Request to keep the discipline intact. No exceptions, no "just this one," and no decisions in hallway conversations.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Aspect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Rule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Cadence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Weekly, 30 minutes, Customization Requests only. If none are pending, the meeting is canceled.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Chair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Manager. Solution Architect presents the impact assessment.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Decision cap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Cumulative cap of 5 approved customizations across Phase 1.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At customization #6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Triggers a PCR conversation: the customer descopes to compensate, accepts a PCR, or reverses recent approvals.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Logging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Every request - approved, rejected, or deferred - is logged in the Governance Triage Log within 24 hours.</w:t>
            </w:r>
          </w:p>
        </w:tc>
      </w:tr>
    </w:tbl>
    <w:p>
      <w:pPr>
        <w:spacing w:after="40"/>
      </w:pPr>
    </w:p>
    <w:p>
      <w:pPr>
        <w:pStyle w:val="Heading1"/>
      </w:pPr>
      <w:r>
        <w:t>5.  Definition of Done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SOW's Definition of Done is contractual. These operational gates are how the team enforces it on every story: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Acceptance criteria were approved by the Product Owner before build began, and all are met and validated at close.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Integration touchpoints exercised in sub-production (if the story touches integrations).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Peer code/config review complete; no P1 defects open against the story.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Any deviation logged in the Triage Log with its scope/budget/upgrade implications and PCR status.</w:t>
      </w:r>
    </w:p>
    <w:p>
      <w:pPr>
        <w:pStyle w:val="Heading1"/>
      </w:pPr>
      <w:r>
        <w:t>6.  Trust-but-Verify - Engagement Health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Health is reported weekly so problems surface early. The Engagement Manager sends the metrics to practice management every Friday by close of business. Yellow or Red status triggers a Monday 1:1 to plan the response.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Signal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Watch for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velocity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3-sprint average vs. planned; sustained drop below 75% is a red flag.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Customization count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Approaching the cap of 5; reaching 6 forces a PCR conversation.</w:t>
            </w:r>
          </w:p>
        </w:tc>
      </w:tr>
      <w:tr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Dependency slips</w:t>
            </w:r>
          </w:p>
        </w:tc>
        <w:tc>
          <w:tcPr>
            <w:tcW w:type="dxa" w:w="673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Unchecked Sprint 0/1 readiness items; three or more slips is a red flag.</w:t>
            </w:r>
          </w:p>
        </w:tc>
      </w:tr>
    </w:tbl>
    <w:p>
      <w:pPr>
        <w:spacing w:after="40"/>
      </w:pP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Engagement is RED if any of: two or more red metrics; customization count &gt;= 6 mid-Phase; three or more dependency slips; or velocity below 75% for three consecutive sprints.</w:t>
      </w:r>
    </w:p>
    <w:p>
      <w:pPr>
        <w:pStyle w:val="Heading1"/>
      </w:pPr>
      <w:r>
        <w:t>7.  Working With the Client - Do's and Don'ts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conversations decide engagement health more than the technical execution does. Hold the discipline with partnership, not preaching.</w:t>
      </w:r>
    </w:p>
    <w:p>
      <w:pPr>
        <w:pStyle w:val="Heading2"/>
      </w:pPr>
      <w:r>
        <w:t>Do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Demonstrate the OOTB pattern first, then discuss - end each workshop with a signed-off story, not a list of "things to think about."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Capture every deviation request transparently in the Triage Log, even the ones you expect to reject.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Have the hard conversation early - a dependency slip or scope drift named in week 3 is cheap; named at UAT it is not.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Frame to the Sponsor in terms of their outcomes and the maintenance burden avoided.</w:t>
      </w:r>
    </w:p>
    <w:p>
      <w:pPr>
        <w:pStyle w:val="Heading2"/>
      </w:pPr>
      <w:r>
        <w:t>Don't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Don't accept a customization in the room - it goes to the Council, every time.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Don't let "Internal Use Only" material or candid internal framing reach the client.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Don't frame the customer's prior choices as wrong - we are modernizing the core, not litigating the past.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Don't silently absorb scope - log it, surface it, and let governance decide.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-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- Connection Delivery Guidelines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