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SPRINT OPERATING KIT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Sprint Operating Kit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Definition of Ready, ceremonies, and cadence - how we run each sprint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- EM, SA, PC, TC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Engagement Delivery Guidelines - Sprint Demo template - User Story backlog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INT-CONN-SOK-01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Kit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kit standardizes how we run each two-week sprint on Connection: when a story is Ready, how we plan, demo, and retro, and the weekly cadence. It complements the Definition of Done in the Delivery Guidelines.</w:t>
      </w:r>
    </w:p>
    <w:p>
      <w:pPr>
        <w:pStyle w:val="Heading1"/>
      </w:pPr>
      <w:r>
        <w:t>1.  Definition of Ready (DoR)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 story may enter a sprint only when: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It traces to a workshop decision (or a clear configuration need) and an epic.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Acceptance criteria are written (Given/When/Then) and reviewed with the Product Owner.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Dependencies (data, access, prior stories) are identified and met or scheduled.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It is estimated (story points) and small enough to finish in the sprint.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It is OOTB-first; any likely deviation is flagged for the Council before build.</w:t>
      </w:r>
    </w:p>
    <w:p>
      <w:pPr>
        <w:pStyle w:val="Heading1"/>
      </w:pPr>
      <w:r>
        <w:t>2.  Sprint Planning Agenda (90 min)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Review sprint goal and capacity (see Sprint Plan &amp; Capacity Model).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Walk the candidate stories; confirm each meets the DoR.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Confirm acceptance criteria and estimates; assign owners.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Identify dependencies and customer inputs needed this sprint (update the Dependency Tracker).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Commit the sprint backlog; record in SN Agile.</w:t>
      </w:r>
    </w:p>
    <w:p>
      <w:pPr>
        <w:pStyle w:val="Heading1"/>
      </w:pPr>
      <w:r>
        <w:t>3.  Sprint Demo / Review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Use the Sprint Demo template. Demo working stories against real Connection data; secure Product Owner acceptance (3-business-day window) and record it in the Acceptance &amp; Sign-off Log.</w:t>
      </w:r>
    </w:p>
    <w:p>
      <w:pPr>
        <w:pStyle w:val="Heading1"/>
      </w:pPr>
      <w:r>
        <w:t>4.  Sprint Retrospective (45 min)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What went well; what to keep.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What slowed us; root cause (esp. dependency slips or OOTB-defense churn).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Actions with owners and due dates; carry into the next sprint.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Feed material risks/decisions into the RAID and Decision Register.</w:t>
      </w:r>
    </w:p>
    <w:p>
      <w:pPr>
        <w:pStyle w:val="Heading1"/>
      </w:pPr>
      <w:r>
        <w:t>5.  Weekly Cadence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Ceremony / Touchpoint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Daily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Standup (15 min)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PC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Weekly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 to Sponsor/PM; health report to practice mgmt (Fri COB)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Bi-weekly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 + Sponsor sync; planning + retro at sprint boundary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EM/PC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 needed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(48-hr SLA)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Monthly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Steering review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The cadence exists to surface issues early. A dependency slip named at standup is cheap; one discovered at the demo is not.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Sprint Operating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