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2093976" cy="389045"/>
            <wp:docPr id="1" name="Picture 1"/>
            <wp:cNvGraphicFramePr>
              <a:graphicFrameLocks noChangeAspect="1"/>
            </wp:cNvGraphicFramePr>
            <a:graphic>
              <a:graphicData uri="http://schemas.openxmlformats.org/drawingml/2006/picture">
                <pic:pic>
                  <pic:nvPicPr>
                    <pic:cNvPr id="0" name="everforth_logo.png"/>
                    <pic:cNvPicPr/>
                  </pic:nvPicPr>
                  <pic:blipFill>
                    <a:blip r:embed="rId9"/>
                    <a:stretch>
                      <a:fillRect/>
                    </a:stretch>
                  </pic:blipFill>
                  <pic:spPr>
                    <a:xfrm>
                      <a:off x="0" y="0"/>
                      <a:ext cx="2093976" cy="389045"/>
                    </a:xfrm>
                    <a:prstGeom prst="rect"/>
                  </pic:spPr>
                </pic:pic>
              </a:graphicData>
            </a:graphic>
          </wp:inline>
        </w:drawing>
      </w:r>
    </w:p>
    <w:p>
      <w:pPr>
        <w:spacing w:before="720" w:after="240"/>
      </w:pPr>
      <w:r>
        <w:rPr>
          <w:rFonts w:ascii="Arial" w:hAnsi="Arial"/>
          <w:b/>
          <w:i w:val="0"/>
          <w:color w:val="14B8A6"/>
          <w:sz w:val="18"/>
          <w:spacing w:val="80"/>
        </w:rPr>
        <w:t>ACCELERATOR PACK</w:t>
      </w:r>
    </w:p>
    <w:p>
      <w:pPr>
        <w:spacing w:after="120"/>
      </w:pPr>
      <w:r>
        <w:rPr>
          <w:rFonts w:ascii="Arial" w:hAnsi="Arial"/>
          <w:b/>
          <w:i w:val="0"/>
          <w:color w:val="0B1F3A"/>
          <w:sz w:val="56"/>
        </w:rPr>
        <w:t>HAM Foundations</w:t>
      </w:r>
    </w:p>
    <w:p>
      <w:pPr>
        <w:spacing w:after="120"/>
      </w:pPr>
      <w:r>
        <w:rPr>
          <w:rFonts w:ascii="Arial" w:hAnsi="Arial"/>
          <w:b/>
          <w:i w:val="0"/>
          <w:color w:val="0B1F3A"/>
          <w:sz w:val="56"/>
        </w:rPr>
        <w:t>Accelerator Pack — README</w:t>
      </w:r>
    </w:p>
    <w:p>
      <w:pPr>
        <w:spacing w:after="480"/>
      </w:pPr>
      <w:r>
        <w:rPr>
          <w:rFonts w:ascii="Arial" w:hAnsi="Arial"/>
          <w:b w:val="0"/>
          <w:i/>
          <w:color w:val="0D9488"/>
          <w:sz w:val="24"/>
        </w:rPr>
        <w:t>Six workbooks. Stand up baseline stockrooms and the smallest workable HAM foundation, fast.</w:t>
      </w:r>
    </w:p>
    <w:p>
      <w:pPr>
        <w:pBdr>
          <w:bottom w:val="single" w:color="14B8A6" w:sz="12" w:space="1"/>
        </w:pBdr>
      </w:pPr>
    </w:p>
    <w:p>
      <w:pPr>
        <w:spacing w:before="200" w:after="60"/>
      </w:pPr>
      <w:r>
        <w:rPr>
          <w:rFonts w:ascii="Arial" w:hAnsi="Arial"/>
          <w:b w:val="0"/>
          <w:i w:val="0"/>
          <w:color w:val="1E293B"/>
          <w:sz w:val="22"/>
        </w:rPr>
        <w:t>ECS Federal  ·  ServiceNow Practice</w:t>
      </w:r>
    </w:p>
    <w:p>
      <w:pPr>
        <w:spacing w:after="60"/>
      </w:pPr>
      <w:r>
        <w:rPr>
          <w:rFonts w:ascii="Arial" w:hAnsi="Arial"/>
          <w:b w:val="0"/>
          <w:i w:val="0"/>
          <w:color w:val="475569"/>
          <w:sz w:val="20"/>
        </w:rPr>
        <w:t>Recipient: Customer Project Sponsor and named Asset Management SMEs</w:t>
      </w:r>
    </w:p>
    <w:p>
      <w:r>
        <w:rPr>
          <w:rFonts w:ascii="Arial" w:hAnsi="Arial"/>
          <w:b w:val="0"/>
          <w:i/>
          <w:color w:val="475569"/>
          <w:sz w:val="18"/>
        </w:rPr>
        <w:t>Confidential — for the recipient and their organization</w:t>
      </w:r>
    </w:p>
    <w:p>
      <w:r>
        <w:br w:type="page"/>
      </w:r>
    </w:p>
    <w:p>
      <w:pPr>
        <w:spacing w:before="240" w:after="120"/>
      </w:pPr>
      <w:r>
        <w:rPr>
          <w:rFonts w:ascii="Arial" w:hAnsi="Arial"/>
          <w:b/>
          <w:i w:val="0"/>
          <w:color w:val="0B1F3A"/>
          <w:sz w:val="36"/>
        </w:rPr>
        <w:t>What This Pack Is</w:t>
      </w:r>
    </w:p>
    <w:p>
      <w:r>
        <w:rPr>
          <w:rFonts w:ascii="Arial" w:hAnsi="Arial"/>
          <w:b w:val="0"/>
          <w:i w:val="0"/>
          <w:color w:val="1E293B"/>
          <w:sz w:val="22"/>
        </w:rPr>
        <w:t>This Accelerator Pack contains six workbooks that capture the foundation a ServiceNow Hardware Asset Management (HAM) program needs to deliver initial value in the first sprint. The focus is deliberately narrow: stand up baseline stockrooms, define the asset classes you actually want to track at MVP, populate seed inventory, and put a simple lifecycle and assignment process in place.</w:t>
      </w:r>
    </w:p>
    <w:p>
      <w:r>
        <w:rPr>
          <w:rFonts w:ascii="Arial" w:hAnsi="Arial"/>
          <w:b w:val="0"/>
          <w:i w:val="0"/>
          <w:color w:val="1E293B"/>
          <w:sz w:val="22"/>
        </w:rPr>
        <w:t>This is the prong-one delivery in our two-prong HAM approach. The companion HAM Realization Accelerator Pack covers full IMAC (Install, Move, Add, Change) lifecycle, procurement integration, audits, and disposal. Customers who go straight to full realization without baseline often spend months perfecting models nobody trusts. Foundations first lets the business see real assets, in real stockrooms, assigned to real people — which earns the credibility full HAM needs.</w:t>
      </w:r>
    </w:p>
    <w:p>
      <w:r>
        <w:rPr>
          <w:rFonts w:ascii="Arial" w:hAnsi="Arial"/>
          <w:b w:val="0"/>
          <w:i w:val="0"/>
          <w:color w:val="1E293B"/>
          <w:sz w:val="22"/>
        </w:rPr>
        <w:t>Completing this Pack accurately and on time directly determines how much of Sprint 1 we spend gathering data versus configuring the platform. It is the highest-leverage thing the customer team can do in the first two weeks of a HAM engagement.</w:t>
      </w:r>
    </w:p>
    <w:p>
      <w:pPr>
        <w:spacing w:before="240" w:after="120"/>
      </w:pPr>
      <w:r>
        <w:rPr>
          <w:rFonts w:ascii="Arial" w:hAnsi="Arial"/>
          <w:b/>
          <w:i w:val="0"/>
          <w:color w:val="0B1F3A"/>
          <w:sz w:val="36"/>
        </w:rPr>
        <w:t>The Six Workbooks</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shd w:val="clear" w:color="auto" w:fill="0B1F3A"/>
          </w:tcPr>
          <w:p>
            <w:r/>
            <w:r>
              <w:rPr>
                <w:rFonts w:ascii="Arial" w:hAnsi="Arial"/>
                <w:b/>
                <w:i w:val="0"/>
                <w:color w:val="FFFFFF"/>
                <w:sz w:val="20"/>
              </w:rPr>
              <w:t>#</w:t>
            </w:r>
          </w:p>
        </w:tc>
        <w:tc>
          <w:tcPr>
            <w:tcW w:type="dxa" w:w="1872"/>
            <w:shd w:val="clear" w:color="auto" w:fill="0B1F3A"/>
          </w:tcPr>
          <w:p>
            <w:r/>
            <w:r>
              <w:rPr>
                <w:rFonts w:ascii="Arial" w:hAnsi="Arial"/>
                <w:b/>
                <w:i w:val="0"/>
                <w:color w:val="FFFFFF"/>
                <w:sz w:val="20"/>
              </w:rPr>
              <w:t>Workbook</w:t>
            </w:r>
          </w:p>
        </w:tc>
        <w:tc>
          <w:tcPr>
            <w:tcW w:type="dxa" w:w="1872"/>
            <w:shd w:val="clear" w:color="auto" w:fill="0B1F3A"/>
          </w:tcPr>
          <w:p>
            <w:r/>
            <w:r>
              <w:rPr>
                <w:rFonts w:ascii="Arial" w:hAnsi="Arial"/>
                <w:b/>
                <w:i w:val="0"/>
                <w:color w:val="FFFFFF"/>
                <w:sz w:val="20"/>
              </w:rPr>
              <w:t>What it Captures</w:t>
            </w:r>
          </w:p>
        </w:tc>
        <w:tc>
          <w:tcPr>
            <w:tcW w:type="dxa" w:w="1872"/>
            <w:shd w:val="clear" w:color="auto" w:fill="0B1F3A"/>
          </w:tcPr>
          <w:p>
            <w:r/>
            <w:r>
              <w:rPr>
                <w:rFonts w:ascii="Arial" w:hAnsi="Arial"/>
                <w:b/>
                <w:i w:val="0"/>
                <w:color w:val="FFFFFF"/>
                <w:sz w:val="20"/>
              </w:rPr>
              <w:t>Customer Owner</w:t>
            </w:r>
          </w:p>
        </w:tc>
        <w:tc>
          <w:tcPr>
            <w:tcW w:type="dxa" w:w="1872"/>
            <w:shd w:val="clear" w:color="auto" w:fill="0B1F3A"/>
          </w:tcPr>
          <w:p>
            <w:r/>
            <w:r>
              <w:rPr>
                <w:rFonts w:ascii="Arial" w:hAnsi="Arial"/>
                <w:b/>
                <w:i w:val="0"/>
                <w:color w:val="FFFFFF"/>
                <w:sz w:val="20"/>
              </w:rPr>
              <w:t>Due</w:t>
            </w:r>
          </w:p>
        </w:tc>
      </w:tr>
      <w:tr>
        <w:tc>
          <w:tcPr>
            <w:tcW w:type="dxa" w:w="1872"/>
            <w:shd w:val="clear" w:color="auto" w:fill="F1F5F9"/>
          </w:tcPr>
          <w:p>
            <w:r/>
            <w:r>
              <w:rPr>
                <w:rFonts w:ascii="Arial" w:hAnsi="Arial"/>
                <w:b w:val="0"/>
                <w:i w:val="0"/>
                <w:color w:val="1E293B"/>
                <w:sz w:val="20"/>
              </w:rPr>
              <w:t>01</w:t>
            </w:r>
          </w:p>
        </w:tc>
        <w:tc>
          <w:tcPr>
            <w:tcW w:type="dxa" w:w="1872"/>
            <w:shd w:val="clear" w:color="auto" w:fill="F1F5F9"/>
          </w:tcPr>
          <w:p>
            <w:r/>
            <w:r>
              <w:rPr>
                <w:rFonts w:ascii="Arial" w:hAnsi="Arial"/>
                <w:b w:val="0"/>
                <w:i w:val="0"/>
                <w:color w:val="1E293B"/>
                <w:sz w:val="20"/>
              </w:rPr>
              <w:t>Stockrooms</w:t>
            </w:r>
          </w:p>
        </w:tc>
        <w:tc>
          <w:tcPr>
            <w:tcW w:type="dxa" w:w="1872"/>
            <w:shd w:val="clear" w:color="auto" w:fill="F1F5F9"/>
          </w:tcPr>
          <w:p>
            <w:r/>
            <w:r>
              <w:rPr>
                <w:rFonts w:ascii="Arial" w:hAnsi="Arial"/>
                <w:b w:val="0"/>
                <w:i w:val="0"/>
                <w:color w:val="1E293B"/>
                <w:sz w:val="20"/>
              </w:rPr>
              <w:t>Physical and logical stockrooms — name, location, type, owner</w:t>
            </w:r>
          </w:p>
        </w:tc>
        <w:tc>
          <w:tcPr>
            <w:tcW w:type="dxa" w:w="1872"/>
            <w:shd w:val="clear" w:color="auto" w:fill="F1F5F9"/>
          </w:tcPr>
          <w:p>
            <w:r/>
            <w:r>
              <w:rPr>
                <w:rFonts w:ascii="Arial" w:hAnsi="Arial"/>
                <w:b w:val="0"/>
                <w:i w:val="0"/>
                <w:color w:val="1E293B"/>
                <w:sz w:val="20"/>
              </w:rPr>
              <w:t>HAM Process Owner</w:t>
            </w:r>
          </w:p>
        </w:tc>
        <w:tc>
          <w:tcPr>
            <w:tcW w:type="dxa" w:w="1872"/>
            <w:shd w:val="clear" w:color="auto" w:fill="F1F5F9"/>
          </w:tcPr>
          <w:p>
            <w:r/>
            <w:r>
              <w:rPr>
                <w:rFonts w:ascii="Arial" w:hAnsi="Arial"/>
                <w:b w:val="0"/>
                <w:i w:val="0"/>
                <w:color w:val="1E293B"/>
                <w:sz w:val="20"/>
              </w:rPr>
              <w:t>End of Sprint 0, Wk 1</w:t>
            </w:r>
          </w:p>
        </w:tc>
      </w:tr>
      <w:tr>
        <w:tc>
          <w:tcPr>
            <w:tcW w:type="dxa" w:w="1872"/>
          </w:tcPr>
          <w:p>
            <w:r/>
            <w:r>
              <w:rPr>
                <w:rFonts w:ascii="Arial" w:hAnsi="Arial"/>
                <w:b w:val="0"/>
                <w:i w:val="0"/>
                <w:color w:val="1E293B"/>
                <w:sz w:val="20"/>
              </w:rPr>
              <w:t>02</w:t>
            </w:r>
          </w:p>
        </w:tc>
        <w:tc>
          <w:tcPr>
            <w:tcW w:type="dxa" w:w="1872"/>
          </w:tcPr>
          <w:p>
            <w:r/>
            <w:r>
              <w:rPr>
                <w:rFonts w:ascii="Arial" w:hAnsi="Arial"/>
                <w:b w:val="0"/>
                <w:i w:val="0"/>
                <w:color w:val="1E293B"/>
                <w:sz w:val="20"/>
              </w:rPr>
              <w:t>Asset Classes (Baseline)</w:t>
            </w:r>
          </w:p>
        </w:tc>
        <w:tc>
          <w:tcPr>
            <w:tcW w:type="dxa" w:w="1872"/>
          </w:tcPr>
          <w:p>
            <w:r/>
            <w:r>
              <w:rPr>
                <w:rFonts w:ascii="Arial" w:hAnsi="Arial"/>
                <w:b w:val="0"/>
                <w:i w:val="0"/>
                <w:color w:val="1E293B"/>
                <w:sz w:val="20"/>
              </w:rPr>
              <w:t>The MVP asset classes to track (typically laptops, monitors, peripherals)</w:t>
            </w:r>
          </w:p>
        </w:tc>
        <w:tc>
          <w:tcPr>
            <w:tcW w:type="dxa" w:w="1872"/>
          </w:tcPr>
          <w:p>
            <w:r/>
            <w:r>
              <w:rPr>
                <w:rFonts w:ascii="Arial" w:hAnsi="Arial"/>
                <w:b w:val="0"/>
                <w:i w:val="0"/>
                <w:color w:val="1E293B"/>
                <w:sz w:val="20"/>
              </w:rPr>
              <w:t>HAM Process Owner</w:t>
            </w:r>
          </w:p>
        </w:tc>
        <w:tc>
          <w:tcPr>
            <w:tcW w:type="dxa" w:w="1872"/>
          </w:tcPr>
          <w:p>
            <w:r/>
            <w:r>
              <w:rPr>
                <w:rFonts w:ascii="Arial" w:hAnsi="Arial"/>
                <w:b w:val="0"/>
                <w:i w:val="0"/>
                <w:color w:val="1E293B"/>
                <w:sz w:val="20"/>
              </w:rPr>
              <w:t>End of Sprint 0, Wk 1</w:t>
            </w:r>
          </w:p>
        </w:tc>
      </w:tr>
      <w:tr>
        <w:tc>
          <w:tcPr>
            <w:tcW w:type="dxa" w:w="1872"/>
            <w:shd w:val="clear" w:color="auto" w:fill="F1F5F9"/>
          </w:tcPr>
          <w:p>
            <w:r/>
            <w:r>
              <w:rPr>
                <w:rFonts w:ascii="Arial" w:hAnsi="Arial"/>
                <w:b w:val="0"/>
                <w:i w:val="0"/>
                <w:color w:val="1E293B"/>
                <w:sz w:val="20"/>
              </w:rPr>
              <w:t>03</w:t>
            </w:r>
          </w:p>
        </w:tc>
        <w:tc>
          <w:tcPr>
            <w:tcW w:type="dxa" w:w="1872"/>
            <w:shd w:val="clear" w:color="auto" w:fill="F1F5F9"/>
          </w:tcPr>
          <w:p>
            <w:r/>
            <w:r>
              <w:rPr>
                <w:rFonts w:ascii="Arial" w:hAnsi="Arial"/>
                <w:b w:val="0"/>
                <w:i w:val="0"/>
                <w:color w:val="1E293B"/>
                <w:sz w:val="20"/>
              </w:rPr>
              <w:t>Asset Models</w:t>
            </w:r>
          </w:p>
        </w:tc>
        <w:tc>
          <w:tcPr>
            <w:tcW w:type="dxa" w:w="1872"/>
            <w:shd w:val="clear" w:color="auto" w:fill="F1F5F9"/>
          </w:tcPr>
          <w:p>
            <w:r/>
            <w:r>
              <w:rPr>
                <w:rFonts w:ascii="Arial" w:hAnsi="Arial"/>
                <w:b w:val="0"/>
                <w:i w:val="0"/>
                <w:color w:val="1E293B"/>
                <w:sz w:val="20"/>
              </w:rPr>
              <w:t>Manufacturer + model entries within each in-scope class</w:t>
            </w:r>
          </w:p>
        </w:tc>
        <w:tc>
          <w:tcPr>
            <w:tcW w:type="dxa" w:w="1872"/>
            <w:shd w:val="clear" w:color="auto" w:fill="F1F5F9"/>
          </w:tcPr>
          <w:p>
            <w:r/>
            <w:r>
              <w:rPr>
                <w:rFonts w:ascii="Arial" w:hAnsi="Arial"/>
                <w:b w:val="0"/>
                <w:i w:val="0"/>
                <w:color w:val="1E293B"/>
                <w:sz w:val="20"/>
              </w:rPr>
              <w:t>HAM Process Owner</w:t>
            </w:r>
          </w:p>
        </w:tc>
        <w:tc>
          <w:tcPr>
            <w:tcW w:type="dxa" w:w="1872"/>
            <w:shd w:val="clear" w:color="auto" w:fill="F1F5F9"/>
          </w:tcPr>
          <w:p>
            <w:r/>
            <w:r>
              <w:rPr>
                <w:rFonts w:ascii="Arial" w:hAnsi="Arial"/>
                <w:b w:val="0"/>
                <w:i w:val="0"/>
                <w:color w:val="1E293B"/>
                <w:sz w:val="20"/>
              </w:rPr>
              <w:t>End of Sprint 0, Wk 2</w:t>
            </w:r>
          </w:p>
        </w:tc>
      </w:tr>
      <w:tr>
        <w:tc>
          <w:tcPr>
            <w:tcW w:type="dxa" w:w="1872"/>
          </w:tcPr>
          <w:p>
            <w:r/>
            <w:r>
              <w:rPr>
                <w:rFonts w:ascii="Arial" w:hAnsi="Arial"/>
                <w:b w:val="0"/>
                <w:i w:val="0"/>
                <w:color w:val="1E293B"/>
                <w:sz w:val="20"/>
              </w:rPr>
              <w:t>04</w:t>
            </w:r>
          </w:p>
        </w:tc>
        <w:tc>
          <w:tcPr>
            <w:tcW w:type="dxa" w:w="1872"/>
          </w:tcPr>
          <w:p>
            <w:r/>
            <w:r>
              <w:rPr>
                <w:rFonts w:ascii="Arial" w:hAnsi="Arial"/>
                <w:b w:val="0"/>
                <w:i w:val="0"/>
                <w:color w:val="1E293B"/>
                <w:sz w:val="20"/>
              </w:rPr>
              <w:t>Initial Inventory</w:t>
            </w:r>
          </w:p>
        </w:tc>
        <w:tc>
          <w:tcPr>
            <w:tcW w:type="dxa" w:w="1872"/>
          </w:tcPr>
          <w:p>
            <w:r/>
            <w:r>
              <w:rPr>
                <w:rFonts w:ascii="Arial" w:hAnsi="Arial"/>
                <w:b w:val="0"/>
                <w:i w:val="0"/>
                <w:color w:val="1E293B"/>
                <w:sz w:val="20"/>
              </w:rPr>
              <w:t>Seed inventory: serial, asset tag, model, stockroom, state</w:t>
            </w:r>
          </w:p>
        </w:tc>
        <w:tc>
          <w:tcPr>
            <w:tcW w:type="dxa" w:w="1872"/>
          </w:tcPr>
          <w:p>
            <w:r/>
            <w:r>
              <w:rPr>
                <w:rFonts w:ascii="Arial" w:hAnsi="Arial"/>
                <w:b w:val="0"/>
                <w:i w:val="0"/>
                <w:color w:val="1E293B"/>
                <w:sz w:val="20"/>
              </w:rPr>
              <w:t>IT Operations / Stockroom Lead</w:t>
            </w:r>
          </w:p>
        </w:tc>
        <w:tc>
          <w:tcPr>
            <w:tcW w:type="dxa" w:w="1872"/>
          </w:tcPr>
          <w:p>
            <w:r/>
            <w:r>
              <w:rPr>
                <w:rFonts w:ascii="Arial" w:hAnsi="Arial"/>
                <w:b w:val="0"/>
                <w:i w:val="0"/>
                <w:color w:val="1E293B"/>
                <w:sz w:val="20"/>
              </w:rPr>
              <w:t>End of Sprint 0, Wk 2</w:t>
            </w:r>
          </w:p>
        </w:tc>
      </w:tr>
      <w:tr>
        <w:tc>
          <w:tcPr>
            <w:tcW w:type="dxa" w:w="1872"/>
            <w:shd w:val="clear" w:color="auto" w:fill="F1F5F9"/>
          </w:tcPr>
          <w:p>
            <w:r/>
            <w:r>
              <w:rPr>
                <w:rFonts w:ascii="Arial" w:hAnsi="Arial"/>
                <w:b w:val="0"/>
                <w:i w:val="0"/>
                <w:color w:val="1E293B"/>
                <w:sz w:val="20"/>
              </w:rPr>
              <w:t>05</w:t>
            </w:r>
          </w:p>
        </w:tc>
        <w:tc>
          <w:tcPr>
            <w:tcW w:type="dxa" w:w="1872"/>
            <w:shd w:val="clear" w:color="auto" w:fill="F1F5F9"/>
          </w:tcPr>
          <w:p>
            <w:r/>
            <w:r>
              <w:rPr>
                <w:rFonts w:ascii="Arial" w:hAnsi="Arial"/>
                <w:b w:val="0"/>
                <w:i w:val="0"/>
                <w:color w:val="1E293B"/>
                <w:sz w:val="20"/>
              </w:rPr>
              <w:t>Lifecycle States (Baseline)</w:t>
            </w:r>
          </w:p>
        </w:tc>
        <w:tc>
          <w:tcPr>
            <w:tcW w:type="dxa" w:w="1872"/>
            <w:shd w:val="clear" w:color="auto" w:fill="F1F5F9"/>
          </w:tcPr>
          <w:p>
            <w:r/>
            <w:r>
              <w:rPr>
                <w:rFonts w:ascii="Arial" w:hAnsi="Arial"/>
                <w:b w:val="0"/>
                <w:i w:val="0"/>
                <w:color w:val="1E293B"/>
                <w:sz w:val="20"/>
              </w:rPr>
              <w:t>States the MVP supports (in stock → in use → retired) and allowed transitions</w:t>
            </w:r>
          </w:p>
        </w:tc>
        <w:tc>
          <w:tcPr>
            <w:tcW w:type="dxa" w:w="1872"/>
            <w:shd w:val="clear" w:color="auto" w:fill="F1F5F9"/>
          </w:tcPr>
          <w:p>
            <w:r/>
            <w:r>
              <w:rPr>
                <w:rFonts w:ascii="Arial" w:hAnsi="Arial"/>
                <w:b w:val="0"/>
                <w:i w:val="0"/>
                <w:color w:val="1E293B"/>
                <w:sz w:val="20"/>
              </w:rPr>
              <w:t>HAM Process Owner</w:t>
            </w:r>
          </w:p>
        </w:tc>
        <w:tc>
          <w:tcPr>
            <w:tcW w:type="dxa" w:w="1872"/>
            <w:shd w:val="clear" w:color="auto" w:fill="F1F5F9"/>
          </w:tcPr>
          <w:p>
            <w:r/>
            <w:r>
              <w:rPr>
                <w:rFonts w:ascii="Arial" w:hAnsi="Arial"/>
                <w:b w:val="0"/>
                <w:i w:val="0"/>
                <w:color w:val="1E293B"/>
                <w:sz w:val="20"/>
              </w:rPr>
              <w:t>End of Sprint 0, Wk 2</w:t>
            </w:r>
          </w:p>
        </w:tc>
      </w:tr>
      <w:tr>
        <w:tc>
          <w:tcPr>
            <w:tcW w:type="dxa" w:w="1872"/>
          </w:tcPr>
          <w:p>
            <w:r/>
            <w:r>
              <w:rPr>
                <w:rFonts w:ascii="Arial" w:hAnsi="Arial"/>
                <w:b w:val="0"/>
                <w:i w:val="0"/>
                <w:color w:val="1E293B"/>
                <w:sz w:val="20"/>
              </w:rPr>
              <w:t>06</w:t>
            </w:r>
          </w:p>
        </w:tc>
        <w:tc>
          <w:tcPr>
            <w:tcW w:type="dxa" w:w="1872"/>
          </w:tcPr>
          <w:p>
            <w:r/>
            <w:r>
              <w:rPr>
                <w:rFonts w:ascii="Arial" w:hAnsi="Arial"/>
                <w:b w:val="0"/>
                <w:i w:val="0"/>
                <w:color w:val="1E293B"/>
                <w:sz w:val="20"/>
              </w:rPr>
              <w:t>Assignment &amp; Receiving</w:t>
            </w:r>
          </w:p>
        </w:tc>
        <w:tc>
          <w:tcPr>
            <w:tcW w:type="dxa" w:w="1872"/>
          </w:tcPr>
          <w:p>
            <w:r/>
            <w:r>
              <w:rPr>
                <w:rFonts w:ascii="Arial" w:hAnsi="Arial"/>
                <w:b w:val="0"/>
                <w:i w:val="0"/>
                <w:color w:val="1E293B"/>
                <w:sz w:val="20"/>
              </w:rPr>
              <w:t>Simple assign-and-receive workflow: who can do what, basic approval</w:t>
            </w:r>
          </w:p>
        </w:tc>
        <w:tc>
          <w:tcPr>
            <w:tcW w:type="dxa" w:w="1872"/>
          </w:tcPr>
          <w:p>
            <w:r/>
            <w:r>
              <w:rPr>
                <w:rFonts w:ascii="Arial" w:hAnsi="Arial"/>
                <w:b w:val="0"/>
                <w:i w:val="0"/>
                <w:color w:val="1E293B"/>
                <w:sz w:val="20"/>
              </w:rPr>
              <w:t>HAM Process Owner + IT Ops</w:t>
            </w:r>
          </w:p>
        </w:tc>
        <w:tc>
          <w:tcPr>
            <w:tcW w:type="dxa" w:w="1872"/>
          </w:tcPr>
          <w:p>
            <w:r/>
            <w:r>
              <w:rPr>
                <w:rFonts w:ascii="Arial" w:hAnsi="Arial"/>
                <w:b w:val="0"/>
                <w:i w:val="0"/>
                <w:color w:val="1E293B"/>
                <w:sz w:val="20"/>
              </w:rPr>
              <w:t>End of Sprint 0, Wk 2</w:t>
            </w:r>
          </w:p>
        </w:tc>
      </w:tr>
    </w:tbl>
    <w:p/>
    <w:p>
      <w:r>
        <w:rPr>
          <w:rFonts w:ascii="Arial" w:hAnsi="Arial"/>
          <w:b w:val="0"/>
          <w:i w:val="0"/>
          <w:color w:val="1E293B"/>
          <w:sz w:val="22"/>
        </w:rPr>
        <w:t>Each workbook contains eight tabs that mirror the ECS ITSM Pack pattern: Instructions (start here); Process Decisions (the workshop questions, with ECS OOTB recommendations pre-filled); Dependencies (other Packs and source data that must be in place); Configuration Data (the final OOTB-aligned values used to configure ServiceNow); R&amp;R (RACI matrix — ECS vs Customer ownership for each activity); Consultant Guide (internal reference for the ECS Solution Architect / Process Consultant); Adoption vs Re-engineering (legacy-pushback scenarios with OOTB defense language); and ServiceNow Mapping (target tables and OOTB features used). Customers focus on Instructions, Process Decisions, and Dependencies; ECS owns Configuration Data, Consultant Guide, and ServiceNow Mapping; both work the R&amp;R and Adoption tabs together.</w:t>
      </w:r>
    </w:p>
    <w:p>
      <w:pPr>
        <w:spacing w:before="240" w:after="120"/>
      </w:pPr>
      <w:r>
        <w:rPr>
          <w:rFonts w:ascii="Arial" w:hAnsi="Arial"/>
          <w:b/>
          <w:i w:val="0"/>
          <w:color w:val="0B1F3A"/>
          <w:sz w:val="36"/>
        </w:rPr>
        <w:t>Roles &amp; Responsibilities</w:t>
      </w:r>
    </w:p>
    <w:p>
      <w:r>
        <w:rPr>
          <w:rFonts w:ascii="Arial" w:hAnsi="Arial"/>
          <w:b w:val="0"/>
          <w:i w:val="0"/>
          <w:color w:val="1E293B"/>
          <w:sz w:val="22"/>
        </w:rPr>
        <w:t>This Pack is delivered as a partnership. ECS provides the structure, the platform expertise, and the configuration. The customer provides authoritative data, named decision-makers, and the access ECS needs to import. The split below removes ambiguity about who owns what during Sprint 0 and Sprint 1.</w:t>
      </w:r>
    </w:p>
    <w:p>
      <w:pPr>
        <w:spacing w:before="200" w:after="80"/>
      </w:pPr>
      <w:r>
        <w:rPr>
          <w:rFonts w:ascii="Arial" w:hAnsi="Arial"/>
          <w:b/>
          <w:i w:val="0"/>
          <w:color w:val="0B1F3A"/>
          <w:sz w:val="28"/>
        </w:rPr>
        <w:t>ECS Federal Responsibilities</w:t>
      </w:r>
    </w:p>
    <w:tbl>
      <w:tblPr>
        <w:tblStyle w:val="LightGrid-Accent1"/>
        <w:tblW w:type="auto" w:w="0"/>
        <w:tblLook w:firstColumn="1" w:firstRow="1" w:lastColumn="0" w:lastRow="0" w:noHBand="0" w:noVBand="1" w:val="04A0"/>
      </w:tblPr>
      <w:tblGrid>
        <w:gridCol w:w="4680"/>
        <w:gridCol w:w="4680"/>
      </w:tblGrid>
      <w:tr>
        <w:tc>
          <w:tcPr>
            <w:tcW w:type="dxa" w:w="4680"/>
            <w:shd w:val="clear" w:color="auto" w:fill="0B1F3A"/>
          </w:tcPr>
          <w:p>
            <w:r/>
            <w:r>
              <w:rPr>
                <w:rFonts w:ascii="Arial" w:hAnsi="Arial"/>
                <w:b/>
                <w:i w:val="0"/>
                <w:color w:val="FFFFFF"/>
                <w:sz w:val="20"/>
              </w:rPr>
              <w:t>Role</w:t>
            </w:r>
          </w:p>
        </w:tc>
        <w:tc>
          <w:tcPr>
            <w:tcW w:type="dxa" w:w="4680"/>
            <w:shd w:val="clear" w:color="auto" w:fill="0B1F3A"/>
          </w:tcPr>
          <w:p>
            <w:r/>
            <w:r>
              <w:rPr>
                <w:rFonts w:ascii="Arial" w:hAnsi="Arial"/>
                <w:b/>
                <w:i w:val="0"/>
                <w:color w:val="FFFFFF"/>
                <w:sz w:val="20"/>
              </w:rPr>
              <w:t>Owns</w:t>
            </w:r>
          </w:p>
        </w:tc>
      </w:tr>
      <w:tr>
        <w:tc>
          <w:tcPr>
            <w:tcW w:type="dxa" w:w="4680"/>
            <w:shd w:val="clear" w:color="auto" w:fill="F1F5F9"/>
          </w:tcPr>
          <w:p>
            <w:r/>
            <w:r>
              <w:rPr>
                <w:rFonts w:ascii="Arial" w:hAnsi="Arial"/>
                <w:b w:val="0"/>
                <w:i w:val="0"/>
                <w:color w:val="1E293B"/>
                <w:sz w:val="20"/>
              </w:rPr>
              <w:t>Solution Architect</w:t>
            </w:r>
          </w:p>
        </w:tc>
        <w:tc>
          <w:tcPr>
            <w:tcW w:type="dxa" w:w="4680"/>
            <w:shd w:val="clear" w:color="auto" w:fill="F1F5F9"/>
          </w:tcPr>
          <w:p>
            <w:r/>
            <w:r>
              <w:rPr>
                <w:rFonts w:ascii="Arial" w:hAnsi="Arial"/>
                <w:b w:val="0"/>
                <w:i w:val="0"/>
                <w:color w:val="1E293B"/>
                <w:sz w:val="20"/>
              </w:rPr>
              <w:t>Workbook structure, mapping to ServiceNow OOTB tables (alm_hardware, alm_stockroom), validation script, import pipeline, decision facilitation in workshops</w:t>
            </w:r>
          </w:p>
        </w:tc>
      </w:tr>
      <w:tr>
        <w:tc>
          <w:tcPr>
            <w:tcW w:type="dxa" w:w="4680"/>
          </w:tcPr>
          <w:p>
            <w:r/>
            <w:r>
              <w:rPr>
                <w:rFonts w:ascii="Arial" w:hAnsi="Arial"/>
                <w:b w:val="0"/>
                <w:i w:val="0"/>
                <w:color w:val="1E293B"/>
                <w:sz w:val="20"/>
              </w:rPr>
              <w:t>Process Consultant</w:t>
            </w:r>
          </w:p>
        </w:tc>
        <w:tc>
          <w:tcPr>
            <w:tcW w:type="dxa" w:w="4680"/>
          </w:tcPr>
          <w:p>
            <w:r/>
            <w:r>
              <w:rPr>
                <w:rFonts w:ascii="Arial" w:hAnsi="Arial"/>
                <w:b w:val="0"/>
                <w:i w:val="0"/>
                <w:color w:val="1E293B"/>
                <w:sz w:val="20"/>
              </w:rPr>
              <w:t>Workshop facilitation, lifecycle state model alignment with ITAM best practice, assignment and receiving workflow design</w:t>
            </w:r>
          </w:p>
        </w:tc>
      </w:tr>
      <w:tr>
        <w:tc>
          <w:tcPr>
            <w:tcW w:type="dxa" w:w="4680"/>
            <w:shd w:val="clear" w:color="auto" w:fill="F1F5F9"/>
          </w:tcPr>
          <w:p>
            <w:r/>
            <w:r>
              <w:rPr>
                <w:rFonts w:ascii="Arial" w:hAnsi="Arial"/>
                <w:b w:val="0"/>
                <w:i w:val="0"/>
                <w:color w:val="1E293B"/>
                <w:sz w:val="20"/>
              </w:rPr>
              <w:t>Engagement Manager</w:t>
            </w:r>
          </w:p>
        </w:tc>
        <w:tc>
          <w:tcPr>
            <w:tcW w:type="dxa" w:w="4680"/>
            <w:shd w:val="clear" w:color="auto" w:fill="F1F5F9"/>
          </w:tcPr>
          <w:p>
            <w:r/>
            <w:r>
              <w:rPr>
                <w:rFonts w:ascii="Arial" w:hAnsi="Arial"/>
                <w:b w:val="0"/>
                <w:i w:val="0"/>
                <w:color w:val="1E293B"/>
                <w:sz w:val="20"/>
              </w:rPr>
              <w:t>Schedule, dependencies, escalation when customer inputs slip, sponsor sync, scope discipline</w:t>
            </w:r>
          </w:p>
        </w:tc>
      </w:tr>
      <w:tr>
        <w:tc>
          <w:tcPr>
            <w:tcW w:type="dxa" w:w="4680"/>
          </w:tcPr>
          <w:p>
            <w:r/>
            <w:r>
              <w:rPr>
                <w:rFonts w:ascii="Arial" w:hAnsi="Arial"/>
                <w:b w:val="0"/>
                <w:i w:val="0"/>
                <w:color w:val="1E293B"/>
                <w:sz w:val="20"/>
              </w:rPr>
              <w:t>Developer</w:t>
            </w:r>
          </w:p>
        </w:tc>
        <w:tc>
          <w:tcPr>
            <w:tcW w:type="dxa" w:w="4680"/>
          </w:tcPr>
          <w:p>
            <w:r/>
            <w:r>
              <w:rPr>
                <w:rFonts w:ascii="Arial" w:hAnsi="Arial"/>
                <w:b w:val="0"/>
                <w:i w:val="0"/>
                <w:color w:val="1E293B"/>
                <w:sz w:val="20"/>
              </w:rPr>
              <w:t>Configuration of stockrooms, asset class extensions only where strictly required, lifecycle state UI, assignment rules</w:t>
            </w:r>
          </w:p>
        </w:tc>
      </w:tr>
    </w:tbl>
    <w:p/>
    <w:p>
      <w:pPr>
        <w:spacing w:before="200" w:after="80"/>
      </w:pPr>
      <w:r>
        <w:rPr>
          <w:rFonts w:ascii="Arial" w:hAnsi="Arial"/>
          <w:b/>
          <w:i w:val="0"/>
          <w:color w:val="0B1F3A"/>
          <w:sz w:val="28"/>
        </w:rPr>
        <w:t>Customer Responsibilities</w:t>
      </w:r>
    </w:p>
    <w:tbl>
      <w:tblPr>
        <w:tblStyle w:val="LightGrid-Accent1"/>
        <w:tblW w:type="auto" w:w="0"/>
        <w:tblLook w:firstColumn="1" w:firstRow="1" w:lastColumn="0" w:lastRow="0" w:noHBand="0" w:noVBand="1" w:val="04A0"/>
      </w:tblPr>
      <w:tblGrid>
        <w:gridCol w:w="4680"/>
        <w:gridCol w:w="4680"/>
      </w:tblGrid>
      <w:tr>
        <w:tc>
          <w:tcPr>
            <w:tcW w:type="dxa" w:w="4680"/>
            <w:shd w:val="clear" w:color="auto" w:fill="0B1F3A"/>
          </w:tcPr>
          <w:p>
            <w:r/>
            <w:r>
              <w:rPr>
                <w:rFonts w:ascii="Arial" w:hAnsi="Arial"/>
                <w:b/>
                <w:i w:val="0"/>
                <w:color w:val="FFFFFF"/>
                <w:sz w:val="20"/>
              </w:rPr>
              <w:t>Role</w:t>
            </w:r>
          </w:p>
        </w:tc>
        <w:tc>
          <w:tcPr>
            <w:tcW w:type="dxa" w:w="4680"/>
            <w:shd w:val="clear" w:color="auto" w:fill="0B1F3A"/>
          </w:tcPr>
          <w:p>
            <w:r/>
            <w:r>
              <w:rPr>
                <w:rFonts w:ascii="Arial" w:hAnsi="Arial"/>
                <w:b/>
                <w:i w:val="0"/>
                <w:color w:val="FFFFFF"/>
                <w:sz w:val="20"/>
              </w:rPr>
              <w:t>Owns</w:t>
            </w:r>
          </w:p>
        </w:tc>
      </w:tr>
      <w:tr>
        <w:tc>
          <w:tcPr>
            <w:tcW w:type="dxa" w:w="4680"/>
            <w:shd w:val="clear" w:color="auto" w:fill="F1F5F9"/>
          </w:tcPr>
          <w:p>
            <w:r/>
            <w:r>
              <w:rPr>
                <w:rFonts w:ascii="Arial" w:hAnsi="Arial"/>
                <w:b w:val="0"/>
                <w:i w:val="0"/>
                <w:color w:val="1E293B"/>
                <w:sz w:val="20"/>
              </w:rPr>
              <w:t>Project Sponsor</w:t>
            </w:r>
          </w:p>
        </w:tc>
        <w:tc>
          <w:tcPr>
            <w:tcW w:type="dxa" w:w="4680"/>
            <w:shd w:val="clear" w:color="auto" w:fill="F1F5F9"/>
          </w:tcPr>
          <w:p>
            <w:r/>
            <w:r>
              <w:rPr>
                <w:rFonts w:ascii="Arial" w:hAnsi="Arial"/>
                <w:b w:val="0"/>
                <w:i w:val="0"/>
                <w:color w:val="1E293B"/>
                <w:sz w:val="20"/>
              </w:rPr>
              <w:t>Decision rights, prioritization between baseline and full IMAC, sign-off on Sprint 1 demo bar</w:t>
            </w:r>
          </w:p>
        </w:tc>
      </w:tr>
      <w:tr>
        <w:tc>
          <w:tcPr>
            <w:tcW w:type="dxa" w:w="4680"/>
          </w:tcPr>
          <w:p>
            <w:r/>
            <w:r>
              <w:rPr>
                <w:rFonts w:ascii="Arial" w:hAnsi="Arial"/>
                <w:b w:val="0"/>
                <w:i w:val="0"/>
                <w:color w:val="1E293B"/>
                <w:sz w:val="20"/>
              </w:rPr>
              <w:t>HAM Process Owner</w:t>
            </w:r>
          </w:p>
        </w:tc>
        <w:tc>
          <w:tcPr>
            <w:tcW w:type="dxa" w:w="4680"/>
          </w:tcPr>
          <w:p>
            <w:r/>
            <w:r>
              <w:rPr>
                <w:rFonts w:ascii="Arial" w:hAnsi="Arial"/>
                <w:b w:val="0"/>
                <w:i w:val="0"/>
                <w:color w:val="1E293B"/>
                <w:sz w:val="20"/>
              </w:rPr>
              <w:t>Authoritative answers on classes, models, lifecycle, and assignment policy; named in workbooks 02, 03, 05, 06</w:t>
            </w:r>
          </w:p>
        </w:tc>
      </w:tr>
      <w:tr>
        <w:tc>
          <w:tcPr>
            <w:tcW w:type="dxa" w:w="4680"/>
            <w:shd w:val="clear" w:color="auto" w:fill="F1F5F9"/>
          </w:tcPr>
          <w:p>
            <w:r/>
            <w:r>
              <w:rPr>
                <w:rFonts w:ascii="Arial" w:hAnsi="Arial"/>
                <w:b w:val="0"/>
                <w:i w:val="0"/>
                <w:color w:val="1E293B"/>
                <w:sz w:val="20"/>
              </w:rPr>
              <w:t>Stockroom Lead / IT Operations</w:t>
            </w:r>
          </w:p>
        </w:tc>
        <w:tc>
          <w:tcPr>
            <w:tcW w:type="dxa" w:w="4680"/>
            <w:shd w:val="clear" w:color="auto" w:fill="F1F5F9"/>
          </w:tcPr>
          <w:p>
            <w:r/>
            <w:r>
              <w:rPr>
                <w:rFonts w:ascii="Arial" w:hAnsi="Arial"/>
                <w:b w:val="0"/>
                <w:i w:val="0"/>
                <w:color w:val="1E293B"/>
                <w:sz w:val="20"/>
              </w:rPr>
              <w:t>Real stockroom data and seed inventory in workbooks 01 and 04</w:t>
            </w:r>
          </w:p>
        </w:tc>
      </w:tr>
      <w:tr>
        <w:tc>
          <w:tcPr>
            <w:tcW w:type="dxa" w:w="4680"/>
          </w:tcPr>
          <w:p>
            <w:r/>
            <w:r>
              <w:rPr>
                <w:rFonts w:ascii="Arial" w:hAnsi="Arial"/>
                <w:b w:val="0"/>
                <w:i w:val="0"/>
                <w:color w:val="1E293B"/>
                <w:sz w:val="20"/>
              </w:rPr>
              <w:t>IT Service Manager</w:t>
            </w:r>
          </w:p>
        </w:tc>
        <w:tc>
          <w:tcPr>
            <w:tcW w:type="dxa" w:w="4680"/>
          </w:tcPr>
          <w:p>
            <w:r/>
            <w:r>
              <w:rPr>
                <w:rFonts w:ascii="Arial" w:hAnsi="Arial"/>
                <w:b w:val="0"/>
                <w:i w:val="0"/>
                <w:color w:val="1E293B"/>
                <w:sz w:val="20"/>
              </w:rPr>
              <w:t>Confirmation that lifecycle states map to existing service operations expectations</w:t>
            </w:r>
          </w:p>
        </w:tc>
      </w:tr>
      <w:tr>
        <w:tc>
          <w:tcPr>
            <w:tcW w:type="dxa" w:w="4680"/>
            <w:shd w:val="clear" w:color="auto" w:fill="F1F5F9"/>
          </w:tcPr>
          <w:p>
            <w:r/>
            <w:r>
              <w:rPr>
                <w:rFonts w:ascii="Arial" w:hAnsi="Arial"/>
                <w:b w:val="0"/>
                <w:i w:val="0"/>
                <w:color w:val="1E293B"/>
                <w:sz w:val="20"/>
              </w:rPr>
              <w:t>SMEs</w:t>
            </w:r>
          </w:p>
        </w:tc>
        <w:tc>
          <w:tcPr>
            <w:tcW w:type="dxa" w:w="4680"/>
            <w:shd w:val="clear" w:color="auto" w:fill="F1F5F9"/>
          </w:tcPr>
          <w:p>
            <w:r/>
            <w:r>
              <w:rPr>
                <w:rFonts w:ascii="Arial" w:hAnsi="Arial"/>
                <w:b w:val="0"/>
                <w:i w:val="0"/>
                <w:color w:val="1E293B"/>
                <w:sz w:val="20"/>
              </w:rPr>
              <w:t>Calendar availability for workshops; written decisions captured in workbook decision columns</w:t>
            </w:r>
          </w:p>
        </w:tc>
      </w:tr>
    </w:tbl>
    <w:p/>
    <w:p>
      <w:pPr>
        <w:spacing w:before="240" w:after="120"/>
      </w:pPr>
      <w:r>
        <w:rPr>
          <w:rFonts w:ascii="Arial" w:hAnsi="Arial"/>
          <w:b/>
          <w:i w:val="0"/>
          <w:color w:val="0B1F3A"/>
          <w:sz w:val="36"/>
        </w:rPr>
        <w:t>How to Fill Out a Workbook</w:t>
      </w:r>
    </w:p>
    <w:p>
      <w:pPr>
        <w:pStyle w:val="ListNumber"/>
      </w:pPr>
      <w:r>
        <w:rPr>
          <w:rFonts w:ascii="Arial" w:hAnsi="Arial"/>
          <w:color w:val="1E293B"/>
          <w:sz w:val="22"/>
        </w:rPr>
        <w:t>Open the workbook. Read the Instructions tab end-to-end. Pay attention to the field-by-field guide and common pitfalls.</w:t>
      </w:r>
    </w:p>
    <w:p>
      <w:pPr>
        <w:pStyle w:val="ListNumber"/>
      </w:pPr>
      <w:r>
        <w:rPr>
          <w:rFonts w:ascii="Arial" w:hAnsi="Arial"/>
          <w:color w:val="1E293B"/>
          <w:sz w:val="22"/>
        </w:rPr>
        <w:t>Switch to the Data tab. The shaded italic rows are example data — they show the format. Insert your real data in the rows below, then delete the example rows.</w:t>
      </w:r>
    </w:p>
    <w:p>
      <w:pPr>
        <w:pStyle w:val="ListNumber"/>
      </w:pPr>
      <w:r>
        <w:rPr>
          <w:rFonts w:ascii="Arial" w:hAnsi="Arial"/>
          <w:color w:val="1E293B"/>
          <w:sz w:val="22"/>
        </w:rPr>
        <w:t>Use the dropdown menus where present. They enforce allowed values and prevent import errors.</w:t>
      </w:r>
    </w:p>
    <w:p>
      <w:pPr>
        <w:pStyle w:val="ListNumber"/>
      </w:pPr>
      <w:r>
        <w:rPr>
          <w:rFonts w:ascii="Arial" w:hAnsi="Arial"/>
          <w:color w:val="1E293B"/>
          <w:sz w:val="22"/>
        </w:rPr>
        <w:t>Cross-reference between workbooks. Class names in 02 are referenced from 03 and 04. Stockroom names in 01 are referenced from 04. Lifecycle states in 05 are referenced from 04 and 06.</w:t>
      </w:r>
    </w:p>
    <w:p>
      <w:pPr>
        <w:pStyle w:val="ListNumber"/>
      </w:pPr>
      <w:r>
        <w:rPr>
          <w:rFonts w:ascii="Arial" w:hAnsi="Arial"/>
          <w:color w:val="1E293B"/>
          <w:sz w:val="22"/>
        </w:rPr>
        <w:t>Add rows below the example as needed; there is no row limit.</w:t>
      </w:r>
    </w:p>
    <w:p>
      <w:pPr>
        <w:pStyle w:val="ListNumber"/>
      </w:pPr>
      <w:r>
        <w:rPr>
          <w:rFonts w:ascii="Arial" w:hAnsi="Arial"/>
          <w:color w:val="1E293B"/>
          <w:sz w:val="22"/>
        </w:rPr>
        <w:t>Do not add or remove columns and do not rename them. The structure must match exactly for the import pipeline to work.</w:t>
      </w:r>
    </w:p>
    <w:p>
      <w:pPr>
        <w:pStyle w:val="ListNumber"/>
      </w:pPr>
      <w:r>
        <w:rPr>
          <w:rFonts w:ascii="Arial" w:hAnsi="Arial"/>
          <w:color w:val="1E293B"/>
          <w:sz w:val="22"/>
        </w:rPr>
        <w:t>If the data does not fit, contact your ECS Solution Architect rather than improvising structure.</w:t>
      </w:r>
    </w:p>
    <w:p>
      <w:pPr>
        <w:spacing w:before="240" w:after="120"/>
      </w:pPr>
      <w:r>
        <w:rPr>
          <w:rFonts w:ascii="Arial" w:hAnsi="Arial"/>
          <w:b/>
          <w:i w:val="0"/>
          <w:color w:val="0B1F3A"/>
          <w:sz w:val="36"/>
        </w:rPr>
        <w:t>Order of Completion</w:t>
      </w:r>
    </w:p>
    <w:p>
      <w:pPr>
        <w:pStyle w:val="ListNumber"/>
      </w:pPr>
      <w:r>
        <w:rPr>
          <w:rFonts w:ascii="Arial" w:hAnsi="Arial"/>
          <w:color w:val="1E293B"/>
          <w:sz w:val="22"/>
        </w:rPr>
        <w:t>Stockrooms (01) — no dependencies; do this first.</w:t>
      </w:r>
    </w:p>
    <w:p>
      <w:pPr>
        <w:pStyle w:val="ListNumber"/>
      </w:pPr>
      <w:r>
        <w:rPr>
          <w:rFonts w:ascii="Arial" w:hAnsi="Arial"/>
          <w:color w:val="1E293B"/>
          <w:sz w:val="22"/>
        </w:rPr>
        <w:t>Asset Classes (02) — no dependencies; can run in parallel with 01.</w:t>
      </w:r>
    </w:p>
    <w:p>
      <w:pPr>
        <w:pStyle w:val="ListNumber"/>
      </w:pPr>
      <w:r>
        <w:rPr>
          <w:rFonts w:ascii="Arial" w:hAnsi="Arial"/>
          <w:color w:val="1E293B"/>
          <w:sz w:val="22"/>
        </w:rPr>
        <w:t>Asset Models (03) — depends on Asset Classes (02).</w:t>
      </w:r>
    </w:p>
    <w:p>
      <w:pPr>
        <w:pStyle w:val="ListNumber"/>
      </w:pPr>
      <w:r>
        <w:rPr>
          <w:rFonts w:ascii="Arial" w:hAnsi="Arial"/>
          <w:color w:val="1E293B"/>
          <w:sz w:val="22"/>
        </w:rPr>
        <w:t>Lifecycle States (05) — no upstream dependencies; can run in parallel with 03.</w:t>
      </w:r>
    </w:p>
    <w:p>
      <w:pPr>
        <w:pStyle w:val="ListNumber"/>
      </w:pPr>
      <w:r>
        <w:rPr>
          <w:rFonts w:ascii="Arial" w:hAnsi="Arial"/>
          <w:color w:val="1E293B"/>
          <w:sz w:val="22"/>
        </w:rPr>
        <w:t>Initial Inventory (04) — depends on 01, 03, and 05.</w:t>
      </w:r>
    </w:p>
    <w:p>
      <w:pPr>
        <w:pStyle w:val="ListNumber"/>
      </w:pPr>
      <w:r>
        <w:rPr>
          <w:rFonts w:ascii="Arial" w:hAnsi="Arial"/>
          <w:color w:val="1E293B"/>
          <w:sz w:val="22"/>
        </w:rPr>
        <w:t>Assignment &amp; Receiving (06) — depends on 05; references roles from your Foundation Data Pack.</w:t>
      </w:r>
    </w:p>
    <w:p>
      <w:pPr>
        <w:spacing w:before="240" w:after="120"/>
      </w:pPr>
      <w:r>
        <w:rPr>
          <w:rFonts w:ascii="Arial" w:hAnsi="Arial"/>
          <w:b/>
          <w:i w:val="0"/>
          <w:color w:val="0B1F3A"/>
          <w:sz w:val="36"/>
        </w:rPr>
        <w:t>Submission &amp; Validation</w:t>
      </w:r>
    </w:p>
    <w:p>
      <w:r>
        <w:rPr>
          <w:rFonts w:ascii="Arial" w:hAnsi="Arial"/>
          <w:b w:val="0"/>
          <w:i w:val="0"/>
          <w:color w:val="1E293B"/>
          <w:sz w:val="22"/>
        </w:rPr>
        <w:t>When a workbook is complete, save it without renaming the file and send to your ECS Solution Architect via the engagement’s secure file-share. ECS runs a validation script and returns any errors within one business day. The script checks: required fields populated, no duplicate primary keys (asset tags, serials, stockroom names), cross-workbook references resolve, allowed values used in dropdowns, and plausible row counts. Errors are returned with row and column references so the customer team can fix and resubmit quickly.</w:t>
      </w:r>
    </w:p>
    <w:p>
      <w:pPr>
        <w:spacing w:before="240" w:after="120"/>
      </w:pPr>
      <w:r>
        <w:rPr>
          <w:rFonts w:ascii="Arial" w:hAnsi="Arial"/>
          <w:b/>
          <w:i w:val="0"/>
          <w:color w:val="0B1F3A"/>
          <w:sz w:val="36"/>
        </w:rPr>
        <w:t>What Happens Next</w:t>
      </w:r>
    </w:p>
    <w:p>
      <w:r>
        <w:rPr>
          <w:rFonts w:ascii="Arial" w:hAnsi="Arial"/>
          <w:b w:val="0"/>
          <w:i w:val="0"/>
          <w:color w:val="1E293B"/>
          <w:sz w:val="22"/>
        </w:rPr>
        <w:t>Once a workbook passes validation, ECS imports the data into the customer sub-prod ServiceNow instance using a pre-built import pipeline. Each workbook typically imports in under 30 minutes. We confirm with a smoke test (record counts, reference integrity, no orphaned records) before moving the data to test and ultimately to production.</w:t>
      </w:r>
    </w:p>
    <w:p>
      <w:r>
        <w:rPr>
          <w:rFonts w:ascii="Arial" w:hAnsi="Arial"/>
          <w:b w:val="0"/>
          <w:i w:val="0"/>
          <w:color w:val="1E293B"/>
          <w:sz w:val="22"/>
        </w:rPr>
        <w:t>By the end of Sprint 1, the sub-prod instance has stockrooms configured, asset classes defined, seed inventory loaded, baseline lifecycle states active, and a simple assignment-and-receiving workflow in place. That is the demo bar: an asset can be received, assigned to a person, returned, and retired, all using OOTB HAM.</w:t>
      </w:r>
    </w:p>
    <w:p>
      <w:pPr>
        <w:spacing w:before="240" w:after="120"/>
      </w:pPr>
      <w:r>
        <w:rPr>
          <w:rFonts w:ascii="Arial" w:hAnsi="Arial"/>
          <w:b/>
          <w:i w:val="0"/>
          <w:color w:val="0B1F3A"/>
          <w:sz w:val="36"/>
        </w:rPr>
        <w:t>Frequently Asked Questions</w:t>
      </w:r>
    </w:p>
    <w:p>
      <w:pPr>
        <w:spacing w:before="200" w:after="80"/>
      </w:pPr>
      <w:r>
        <w:rPr>
          <w:rFonts w:ascii="Arial" w:hAnsi="Arial"/>
          <w:b/>
          <w:i w:val="0"/>
          <w:color w:val="0B1F3A"/>
          <w:sz w:val="28"/>
        </w:rPr>
        <w:t>Why so few asset classes at MVP?</w:t>
      </w:r>
    </w:p>
    <w:p>
      <w:r>
        <w:rPr>
          <w:rFonts w:ascii="Arial" w:hAnsi="Arial"/>
          <w:b w:val="0"/>
          <w:i w:val="0"/>
          <w:color w:val="1E293B"/>
          <w:sz w:val="22"/>
        </w:rPr>
        <w:t>Because a class you cannot maintain is worse than a class you don’t track. Customers who try to track everything at MVP routinely end up with stale data and lost credibility. Start with the classes the business actually uses every week (laptops, monitors, peripherals are typical), prove the process, then expand under the HAM Realization Pack.</w:t>
      </w:r>
    </w:p>
    <w:p>
      <w:pPr>
        <w:spacing w:before="200" w:after="80"/>
      </w:pPr>
      <w:r>
        <w:rPr>
          <w:rFonts w:ascii="Arial" w:hAnsi="Arial"/>
          <w:b/>
          <w:i w:val="0"/>
          <w:color w:val="0B1F3A"/>
          <w:sz w:val="28"/>
        </w:rPr>
        <w:t>Can we use a tool other than Excel?</w:t>
      </w:r>
    </w:p>
    <w:p>
      <w:r>
        <w:rPr>
          <w:rFonts w:ascii="Arial" w:hAnsi="Arial"/>
          <w:b w:val="0"/>
          <w:i w:val="0"/>
          <w:color w:val="1E293B"/>
          <w:sz w:val="22"/>
        </w:rPr>
        <w:t>The workbooks are designed for Excel. If the customer needs an alternative format (e.g., a CSV export from an existing CMDB or ITAM tool), discuss with the ECS Solution Architect — we can sometimes accept the export directly. Structure must still match.</w:t>
      </w:r>
    </w:p>
    <w:p>
      <w:pPr>
        <w:spacing w:before="200" w:after="80"/>
      </w:pPr>
      <w:r>
        <w:rPr>
          <w:rFonts w:ascii="Arial" w:hAnsi="Arial"/>
          <w:b/>
          <w:i w:val="0"/>
          <w:color w:val="0B1F3A"/>
          <w:sz w:val="28"/>
        </w:rPr>
        <w:t>What if our seed inventory is incomplete?</w:t>
      </w:r>
    </w:p>
    <w:p>
      <w:r>
        <w:rPr>
          <w:rFonts w:ascii="Arial" w:hAnsi="Arial"/>
          <w:b w:val="0"/>
          <w:i w:val="0"/>
          <w:color w:val="1E293B"/>
          <w:sz w:val="22"/>
        </w:rPr>
        <w:t>Submit what you have and flag the gaps. We close them in Sprint 1 alongside any Discovery- or SCCM/Intune-driven reconciliation work. Submitting incomplete data on time is better than missing the deadline.</w:t>
      </w:r>
    </w:p>
    <w:p>
      <w:pPr>
        <w:spacing w:before="240" w:after="120"/>
      </w:pPr>
      <w:r>
        <w:rPr>
          <w:rFonts w:ascii="Arial" w:hAnsi="Arial"/>
          <w:b/>
          <w:i w:val="0"/>
          <w:color w:val="0B1F3A"/>
          <w:sz w:val="36"/>
        </w:rPr>
        <w:t>A Final Note</w:t>
      </w:r>
    </w:p>
    <w:p>
      <w:r>
        <w:rPr>
          <w:rFonts w:ascii="Arial" w:hAnsi="Arial"/>
          <w:b w:val="0"/>
          <w:i w:val="0"/>
          <w:color w:val="1E293B"/>
          <w:sz w:val="22"/>
        </w:rPr>
        <w:t>Foundations is not a half-effort version of HAM. It is the disciplined first step that earns the right to do full realization. Customers who treat the Foundations Pack as a priority during Sprint 0 routinely have smoother HAM realizations later. Customers who skip it end up rebuilding stockroom and class decisions in mid-engagement, which costs sprint capacity that cannot be recovered.</w:t>
      </w:r>
    </w:p>
    <w:p>
      <w:pPr>
        <w:spacing w:before="480"/>
      </w:pPr>
      <w:r>
        <w:rPr>
          <w:rFonts w:ascii="Arial" w:hAnsi="Arial"/>
          <w:b/>
          <w:i w:val="0"/>
          <w:color w:val="0B1F3A"/>
          <w:sz w:val="20"/>
        </w:rPr>
        <w:t>ECS Federal · ServiceNow Practice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