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p>
    <w:p>
      <w:pPr>
        <w:spacing w:after="120"/>
      </w:pPr>
    </w:p>
    <w:p>
      <w:pPr>
        <w:spacing w:before="800" w:after="160"/>
      </w:pPr>
      <w:r>
        <w:rPr>
          <w:rFonts w:ascii="Calibri" w:hAnsi="Calibri"/>
          <w:b/>
          <w:color w:val="14B8A6"/>
          <w:spacing w:val="60"/>
          <w:sz w:val="18"/>
        </w:rPr>
        <w:t>ACCELERATOR PACK</w:t>
      </w:r>
    </w:p>
    <w:p>
      <w:pPr>
        <w:spacing w:before="0" w:after="40"/>
      </w:pPr>
      <w:r>
        <w:rPr>
          <w:rFonts w:ascii="Calibri" w:hAnsi="Calibri"/>
          <w:b/>
          <w:color w:val="0B1F3A"/>
          <w:sz w:val="56"/>
        </w:rPr>
        <w:t>Knowledge</w:t>
      </w:r>
    </w:p>
    <w:p>
      <w:pPr>
        <w:spacing w:before="0" w:after="40"/>
      </w:pPr>
      <w:r>
        <w:rPr>
          <w:rFonts w:ascii="Calibri" w:hAnsi="Calibri"/>
          <w:b/>
          <w:color w:val="0B1F3A"/>
          <w:sz w:val="56"/>
        </w:rPr>
        <w:t>Accelerator Pack</w:t>
      </w:r>
    </w:p>
    <w:p>
      <w:pPr>
        <w:spacing w:before="120" w:after="400"/>
      </w:pPr>
      <w:r>
        <w:rPr>
          <w:rFonts w:ascii="Calibri" w:hAnsi="Calibri"/>
          <w:i/>
          <w:color w:val="0D9488"/>
          <w:sz w:val="24"/>
        </w:rPr>
        <w:t>Knowledge Base structure, article standards, access controls, and deflection measurement for the OOTB-first ServiceNow engagement</w:t>
      </w:r>
    </w:p>
    <w:p>
      <w:pPr>
        <w:pBdr>
          <w:bottom w:val="single" w:sz="12" w:space="1" w:color="14B8A6"/>
        </w:pBdr>
        <w:spacing w:before="0" w:after="160"/>
      </w:pPr>
    </w:p>
    <w:p>
      <w:pPr>
        <w:spacing w:after="40"/>
      </w:pPr>
      <w:r>
        <w:rPr>
          <w:rFonts w:ascii="Calibri" w:hAnsi="Calibri"/>
          <w:b/>
          <w:i w:val="0"/>
          <w:color w:val="0B1F3A"/>
          <w:sz w:val="22"/>
        </w:rPr>
        <w:t>ECS Federal · ServiceNow Practice</w:t>
      </w:r>
    </w:p>
    <w:p>
      <w:pPr>
        <w:spacing w:after="40"/>
      </w:pPr>
      <w:r>
        <w:rPr>
          <w:rFonts w:ascii="Calibri" w:hAnsi="Calibri"/>
          <w:b w:val="0"/>
          <w:i w:val="0"/>
          <w:color w:val="475569"/>
          <w:sz w:val="20"/>
        </w:rPr>
        <w:t>Audience: Customer Knowledge Manager, ITSM Process Owner, and IT Director</w:t>
      </w:r>
    </w:p>
    <w:p>
      <w:pPr>
        <w:spacing w:after="40"/>
      </w:pPr>
      <w:r>
        <w:rPr>
          <w:rFonts w:ascii="Calibri" w:hAnsi="Calibri"/>
          <w:b w:val="0"/>
          <w:i w:val="0"/>
          <w:color w:val="475569"/>
          <w:sz w:val="20"/>
        </w:rPr>
        <w:t>Companion to: Service Catalog Pack · Virtual Agent Pack · Employee Center Pack</w:t>
      </w:r>
    </w:p>
    <w:p>
      <w:pPr>
        <w:spacing w:after="80"/>
      </w:pPr>
      <w:r>
        <w:rPr>
          <w:rFonts w:ascii="Calibri" w:hAnsi="Calibri"/>
          <w:b w:val="0"/>
          <w:i w:val="0"/>
          <w:color w:val="475569"/>
          <w:sz w:val="20"/>
        </w:rPr>
        <w:t>Document ID: AP-13     ·     Version: 1.0     ·     Status: Released</w:t>
      </w:r>
    </w:p>
    <w:p>
      <w:pPr>
        <w:spacing w:after="280"/>
      </w:pPr>
      <w:r>
        <w:rPr>
          <w:rFonts w:ascii="Calibri" w:hAnsi="Calibri"/>
          <w:b w:val="0"/>
          <w:i/>
          <w:color w:val="475569"/>
          <w:sz w:val="20"/>
        </w:rPr>
        <w:t>Shared — for the recipient and their organisation</w:t>
      </w:r>
    </w:p>
    <w:p>
      <w:r>
        <w:br w:type="page"/>
      </w:r>
    </w:p>
    <w:p>
      <w:pPr>
        <w:pStyle w:val="Heading1"/>
      </w:pPr>
      <w:r>
        <w:t>What This Pack Is</w:t>
      </w:r>
    </w:p>
    <w:p>
      <w:pPr>
        <w:spacing w:after="160" w:before="0"/>
      </w:pPr>
      <w:r>
        <w:rPr>
          <w:rFonts w:ascii="Calibri" w:hAnsi="Calibri"/>
          <w:color w:val="1A1A1A"/>
          <w:sz w:val="22"/>
        </w:rPr>
        <w:t>This Accelerator Pack covers the complete Knowledge Management configuration for Sprint 5. Knowledge is a force-multiplier for the ITSM and Service Catalog investments from earlier sprints: a well-structured KB deflects helpdesk tickets, enables Virtual Agent to answer common questions, and powers Now Assist article summaries for agents.</w:t>
      </w:r>
    </w:p>
    <w:p>
      <w:pPr>
        <w:spacing w:after="160" w:before="0"/>
      </w:pPr>
      <w:r>
        <w:rPr>
          <w:rFonts w:ascii="Calibri" w:hAnsi="Calibri"/>
          <w:color w:val="1A1A1A"/>
          <w:sz w:val="22"/>
        </w:rPr>
        <w:t>The six workbooks address the full KM sequence: Knowledge Base structure and audience definition (Workbook 01), article template standards (Workbook 02), access controls (Workbook 03), article lifecycle and review cadence (Workbook 04), search optimization (Workbook 05), and KPI measurement and governance (Workbook 06).</w:t>
      </w:r>
    </w:p>
    <w:p>
      <w:pPr>
        <w:pStyle w:val="Heading1"/>
      </w:pPr>
      <w:r>
        <w:t>The Six Workbooks</w:t>
      </w:r>
    </w:p>
    <w:tbl>
      <w:tblPr>
        <w:tblW w:type="auto" w:w="0"/>
        <w:jc w:val="left"/>
        <w:tblLook w:firstColumn="1" w:firstRow="1" w:lastColumn="0" w:lastRow="0" w:noHBand="0" w:noVBand="1" w:val="04A0"/>
      </w:tblPr>
      <w:tblGrid>
        <w:gridCol w:w="1872"/>
        <w:gridCol w:w="1872"/>
        <w:gridCol w:w="1872"/>
        <w:gridCol w:w="1872"/>
        <w:gridCol w:w="1872"/>
      </w:tblGrid>
      <w:tr>
        <w:trPr>
          <w:tblHeader/>
        </w:trPr>
        <w:tc>
          <w:tcPr>
            <w:tcW w:type="dxa" w:w="2696"/>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w:t>
            </w:r>
          </w:p>
        </w:tc>
        <w:tc>
          <w:tcPr>
            <w:tcW w:type="dxa" w:w="2696"/>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Workbook</w:t>
            </w:r>
          </w:p>
        </w:tc>
        <w:tc>
          <w:tcPr>
            <w:tcW w:type="dxa" w:w="2696"/>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What It Covers</w:t>
            </w:r>
          </w:p>
        </w:tc>
        <w:tc>
          <w:tcPr>
            <w:tcW w:type="dxa" w:w="2696"/>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Owner</w:t>
            </w:r>
          </w:p>
        </w:tc>
        <w:tc>
          <w:tcPr>
            <w:tcW w:type="dxa" w:w="2696"/>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Sprint</w:t>
            </w:r>
          </w:p>
        </w:tc>
      </w:tr>
      <w:tr>
        <w:tc>
          <w:tcPr>
            <w:tcW w:type="dxa" w:w="269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01</w:t>
            </w:r>
          </w:p>
        </w:tc>
        <w:tc>
          <w:tcPr>
            <w:tcW w:type="dxa" w:w="269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KB Structure</w:t>
            </w:r>
          </w:p>
        </w:tc>
        <w:tc>
          <w:tcPr>
            <w:tcW w:type="dxa" w:w="269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KB hierarchy, categories, audience, Knowledge Manager assignments</w:t>
            </w:r>
          </w:p>
        </w:tc>
        <w:tc>
          <w:tcPr>
            <w:tcW w:type="dxa" w:w="269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Customer ITSM PO + KM</w:t>
            </w:r>
          </w:p>
        </w:tc>
        <w:tc>
          <w:tcPr>
            <w:tcW w:type="dxa" w:w="269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Sprint 5 Wk 1</w:t>
            </w:r>
          </w:p>
        </w:tc>
      </w:tr>
      <w:tr>
        <w:tc>
          <w:tcPr>
            <w:tcW w:type="dxa" w:w="269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02</w:t>
            </w:r>
          </w:p>
        </w:tc>
        <w:tc>
          <w:tcPr>
            <w:tcW w:type="dxa" w:w="269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Article Template Standards</w:t>
            </w:r>
          </w:p>
        </w:tc>
        <w:tc>
          <w:tcPr>
            <w:tcW w:type="dxa" w:w="269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How-To and Known Error templates, mandatory fields, OOTB workflow</w:t>
            </w:r>
          </w:p>
        </w:tc>
        <w:tc>
          <w:tcPr>
            <w:tcW w:type="dxa" w:w="269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ECS SA</w:t>
            </w:r>
          </w:p>
        </w:tc>
        <w:tc>
          <w:tcPr>
            <w:tcW w:type="dxa" w:w="269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Sprint 5 Wk 1</w:t>
            </w:r>
          </w:p>
        </w:tc>
      </w:tr>
      <w:tr>
        <w:tc>
          <w:tcPr>
            <w:tcW w:type="dxa" w:w="269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03</w:t>
            </w:r>
          </w:p>
        </w:tc>
        <w:tc>
          <w:tcPr>
            <w:tcW w:type="dxa" w:w="269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Access Controls</w:t>
            </w:r>
          </w:p>
        </w:tc>
        <w:tc>
          <w:tcPr>
            <w:tcW w:type="dxa" w:w="269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User criteria per KB, itil role restrictions, authorship roles</w:t>
            </w:r>
          </w:p>
        </w:tc>
        <w:tc>
          <w:tcPr>
            <w:tcW w:type="dxa" w:w="269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ECS SA + Customer IT Ops</w:t>
            </w:r>
          </w:p>
        </w:tc>
        <w:tc>
          <w:tcPr>
            <w:tcW w:type="dxa" w:w="269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Sprint 5 Wk 1</w:t>
            </w:r>
          </w:p>
        </w:tc>
      </w:tr>
      <w:tr>
        <w:tc>
          <w:tcPr>
            <w:tcW w:type="dxa" w:w="269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04</w:t>
            </w:r>
          </w:p>
        </w:tc>
        <w:tc>
          <w:tcPr>
            <w:tcW w:type="dxa" w:w="269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Article Workflow &amp; Review Cadence</w:t>
            </w:r>
          </w:p>
        </w:tc>
        <w:tc>
          <w:tcPr>
            <w:tcW w:type="dxa" w:w="269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Draft/Review/Publish lifecycle, Valid to periods, monthly review cadence</w:t>
            </w:r>
          </w:p>
        </w:tc>
        <w:tc>
          <w:tcPr>
            <w:tcW w:type="dxa" w:w="269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ECS SA + Customer KM</w:t>
            </w:r>
          </w:p>
        </w:tc>
        <w:tc>
          <w:tcPr>
            <w:tcW w:type="dxa" w:w="269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Sprint 5 Wk 1</w:t>
            </w:r>
          </w:p>
        </w:tc>
      </w:tr>
      <w:tr>
        <w:tc>
          <w:tcPr>
            <w:tcW w:type="dxa" w:w="269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05</w:t>
            </w:r>
          </w:p>
        </w:tc>
        <w:tc>
          <w:tcPr>
            <w:tcW w:type="dxa" w:w="269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Search Optimization</w:t>
            </w:r>
          </w:p>
        </w:tc>
        <w:tc>
          <w:tcPr>
            <w:tcW w:type="dxa" w:w="269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Search source config, field weights, synonyms, search validation</w:t>
            </w:r>
          </w:p>
        </w:tc>
        <w:tc>
          <w:tcPr>
            <w:tcW w:type="dxa" w:w="269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ECS SA + Customer KM</w:t>
            </w:r>
          </w:p>
        </w:tc>
        <w:tc>
          <w:tcPr>
            <w:tcW w:type="dxa" w:w="269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Sprint 5 Wk 2</w:t>
            </w:r>
          </w:p>
        </w:tc>
      </w:tr>
      <w:tr>
        <w:tc>
          <w:tcPr>
            <w:tcW w:type="dxa" w:w="269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06</w:t>
            </w:r>
          </w:p>
        </w:tc>
        <w:tc>
          <w:tcPr>
            <w:tcW w:type="dxa" w:w="269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Knowledge KPIs &amp; Governance</w:t>
            </w:r>
          </w:p>
        </w:tc>
        <w:tc>
          <w:tcPr>
            <w:tcW w:type="dxa" w:w="269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Deflection rate, freshness targets, monthly governance, quarterly reporting</w:t>
            </w:r>
          </w:p>
        </w:tc>
        <w:tc>
          <w:tcPr>
            <w:tcW w:type="dxa" w:w="269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ECS SA + Customer KM + IT Director</w:t>
            </w:r>
          </w:p>
        </w:tc>
        <w:tc>
          <w:tcPr>
            <w:tcW w:type="dxa" w:w="269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Sprint 5 Wk 2</w:t>
            </w:r>
          </w:p>
        </w:tc>
      </w:tr>
    </w:tbl>
    <w:p>
      <w:pPr>
        <w:spacing w:after="40"/>
      </w:pPr>
    </w:p>
    <w:p>
      <w:pPr>
        <w:pStyle w:val="Heading1"/>
      </w:pPr>
      <w:r>
        <w:t>Sprint Alignment</w:t>
      </w:r>
    </w:p>
    <w:p>
      <w:pPr>
        <w:spacing w:after="160" w:before="0"/>
      </w:pPr>
      <w:r>
        <w:rPr>
          <w:rFonts w:ascii="Calibri" w:hAnsi="Calibri"/>
          <w:color w:val="1A1A1A"/>
          <w:sz w:val="22"/>
        </w:rPr>
        <w:t>Knowledge Management is configured in Sprint 5 alongside Employee Center and Virtual Agent. The three disciplines are tightly coupled: Employee Center is the user-facing portal that surfaces KB articles, Virtual Agent uses KB content to answer user questions, and Now Assist (Sprint 6) summarises KB articles for agents. All three require a well-structured, current KB to deliver value.</w:t>
      </w:r>
    </w:p>
    <w:sectPr w:rsidR="00FC693F" w:rsidRPr="0006063C" w:rsidSect="00034616">
      <w:headerReference w:type="default" r:id="rId9"/>
      <w:footerReference w:type="default" r:id="rId10"/>
      <w:pgSz w:w="12240" w:h="15840"/>
      <w:pgMar w:top="1152" w:right="1440" w:bottom="1152" w:left="1440" w:header="504"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val="right" w:pos="9360"/>
      </w:tabs>
    </w:pPr>
    <w:r>
      <w:rPr>
        <w:rFonts w:ascii="Calibri" w:hAnsi="Calibri"/>
        <w:color w:val="475569"/>
        <w:sz w:val="16"/>
      </w:rPr>
      <w:t>ECS Federal · ServiceNow Practice  ·  Internal Use Only</w:t>
    </w:r>
    <w:r>
      <w:tab/>
    </w:r>
    <w:r>
      <w:rPr>
        <w:rFonts w:ascii="Calibri" w:hAnsi="Calibri"/>
        <w:color w:val="475569"/>
        <w:sz w:val="16"/>
      </w:rPr>
      <w:t xml:space="preserve">Page </w:t>
    </w:r>
    <w:r>
      <w:rPr>
        <w:rFonts w:ascii="Calibri" w:hAnsi="Calibri"/>
        <w:color w:val="475569"/>
        <w:sz w:val="16"/>
      </w:rPr>
      <w:fldChar w:fldCharType="begin"/>
      <w:instrText>PAGE</w:instrText>
      <w:fldChar w:fldCharType="separate"/>
      <w:fldChar w:fldCharType="end"/>
    </w:r>
    <w:r>
      <w:rPr>
        <w:rFonts w:ascii="Calibri" w:hAnsi="Calibri"/>
        <w:color w:val="475569"/>
        <w:sz w:val="16"/>
      </w:rPr>
      <w:t xml:space="preserve"> of </w:t>
    </w:r>
    <w:r>
      <w:rPr>
        <w:rFonts w:ascii="Calibri" w:hAnsi="Calibri"/>
        <w:color w:val="475569"/>
        <w:sz w:val="16"/>
      </w:rPr>
      <w:fldChar w:fldCharType="begin"/>
      <w:instrText>NUMPAGES</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color="14B8A6" w:sz="8" w:space="1"/>
      </w:pBdr>
      <w:tabs>
        <w:tab w:val="right" w:pos="9360"/>
      </w:tabs>
    </w:pPr>
    <w:r/>
    <w:r>
      <w:tab/>
    </w:r>
    <w:r>
      <w:rPr>
        <w:rFonts w:ascii="Calibri" w:hAnsi="Calibri"/>
        <w:color w:val="475569"/>
        <w:spacing w:val="30"/>
        <w:sz w:val="18"/>
      </w:rPr>
      <w:t>Knowledge Accelerator Pack · ECS Federal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cs="Calibri" w:eastAsia="Calibri"/>
      <w:b/>
      <w:bCs/>
      <w:color w:val="0B1F3A"/>
      <w:sz w:val="32"/>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Calibri" w:hAnsi="Calibri" w:cs="Calibri" w:eastAsia="Calibri"/>
      <w:b/>
      <w:bCs/>
      <w:color w:val="0B1F3A"/>
      <w:sz w:val="26"/>
      <w:szCs w:val="26"/>
    </w:rPr>
  </w:style>
  <w:style w:type="paragraph" w:styleId="Heading3">
    <w:name w:val="heading 3"/>
    <w:basedOn w:val="Normal"/>
    <w:next w:val="Normal"/>
    <w:link w:val="Heading3Char"/>
    <w:uiPriority w:val="9"/>
    <w:unhideWhenUsed/>
    <w:qFormat/>
    <w:rsid w:val="00FC693F"/>
    <w:pPr>
      <w:keepNext/>
      <w:keepLines/>
      <w:spacing w:before="200" w:after="40"/>
      <w:outlineLvl w:val="2"/>
    </w:pPr>
    <w:rPr>
      <w:rFonts w:asciiTheme="majorHAnsi" w:eastAsiaTheme="majorEastAsia" w:hAnsiTheme="majorHAnsi" w:cstheme="majorBidi" w:ascii="Calibri" w:hAnsi="Calibri" w:cs="Calibri" w:eastAsia="Calibri"/>
      <w:b/>
      <w:bCs/>
      <w:color w:val="2E74B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0"/>
      <w:contextualSpacing/>
    </w:pPr>
    <w:rPr>
      <w:rFonts w:asciiTheme="majorHAnsi" w:eastAsiaTheme="majorEastAsia" w:hAnsiTheme="majorHAnsi" w:cstheme="majorBidi" w:ascii="Calibri" w:hAnsi="Calibri" w:cs="Calibri" w:eastAsia="Calibri"/>
      <w:b/>
      <w:color w:val="0B1F3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