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ACCELERATOR PACK</w:t>
      </w:r>
    </w:p>
    <w:p>
      <w:pPr>
        <w:spacing w:before="0" w:after="40"/>
      </w:pPr>
      <w:r>
        <w:rPr>
          <w:rFonts w:ascii="Calibri" w:hAnsi="Calibri"/>
          <w:b/>
          <w:color w:val="0B1F3A"/>
          <w:sz w:val="56"/>
        </w:rPr>
        <w:t>Service Catalog</w:t>
      </w:r>
    </w:p>
    <w:p>
      <w:pPr>
        <w:spacing w:before="0" w:after="40"/>
      </w:pPr>
      <w:r>
        <w:rPr>
          <w:rFonts w:ascii="Calibri" w:hAnsi="Calibri"/>
          <w:b/>
          <w:color w:val="0B1F3A"/>
          <w:sz w:val="56"/>
        </w:rPr>
        <w:t>Accelerator Pack</w:t>
      </w:r>
    </w:p>
    <w:p>
      <w:pPr>
        <w:spacing w:before="120" w:after="400"/>
      </w:pPr>
      <w:r>
        <w:rPr>
          <w:rFonts w:ascii="Calibri" w:hAnsi="Calibri"/>
          <w:i/>
          <w:color w:val="0D9488"/>
          <w:sz w:val="24"/>
        </w:rPr>
        <w:t>Category rationalization, item normalization, and fulfillment workflow design for the OOTB-first ServiceNow catalog</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Customer Project Sponsor, ITSM Process Owner, Fulfillment Team Leads, and the ECS SA responsible for the Sprint 4 catalog build</w:t>
      </w:r>
    </w:p>
    <w:p>
      <w:pPr>
        <w:spacing w:after="40"/>
      </w:pPr>
      <w:r>
        <w:rPr>
          <w:rFonts w:ascii="Calibri" w:hAnsi="Calibri"/>
          <w:b w:val="0"/>
          <w:i w:val="0"/>
          <w:color w:val="475569"/>
          <w:sz w:val="20"/>
        </w:rPr>
        <w:t>Companion to: ITSM Accelerator Pack · CMDB-CSDM Accelerator Pack · Integration Accelerator Pack</w:t>
      </w:r>
    </w:p>
    <w:p>
      <w:pPr>
        <w:spacing w:after="80"/>
      </w:pPr>
      <w:r>
        <w:rPr>
          <w:rFonts w:ascii="Calibri" w:hAnsi="Calibri"/>
          <w:b w:val="0"/>
          <w:i w:val="0"/>
          <w:color w:val="475569"/>
          <w:sz w:val="20"/>
        </w:rPr>
        <w:t>Document ID: AP-CAT     ·     Version: 1.0     ·     Status: Released</w:t>
      </w:r>
    </w:p>
    <w:p>
      <w:pPr>
        <w:spacing w:after="280"/>
      </w:pPr>
      <w:r>
        <w:rPr>
          <w:rFonts w:ascii="Calibri" w:hAnsi="Calibri"/>
          <w:b w:val="0"/>
          <w:i/>
          <w:color w:val="475569"/>
          <w:sz w:val="20"/>
        </w:rPr>
        <w:t>Shared — for the recipient and their organisation</w:t>
      </w:r>
    </w:p>
    <w:p>
      <w:r>
        <w:br w:type="page"/>
      </w:r>
    </w:p>
    <w:p>
      <w:pPr>
        <w:pStyle w:val="Heading1"/>
      </w:pPr>
      <w:r>
        <w:t>What This Pack Is</w:t>
      </w:r>
    </w:p>
    <w:p>
      <w:pPr>
        <w:spacing w:after="160" w:before="0"/>
      </w:pPr>
      <w:r>
        <w:rPr>
          <w:rFonts w:ascii="Calibri" w:hAnsi="Calibri"/>
          <w:color w:val="1A1A1A"/>
          <w:sz w:val="22"/>
        </w:rPr>
        <w:t>This Accelerator Pack contains six workbooks that take the Service Catalog from a legacy list of items to a user-centric, maintainable catalog built on OOTB ServiceNow patterns. The scope is deliberately bounded: rationalize the category structure, triage the item list to a manageable MVP set, standardize how items are built, and establish clean fulfillment and approval patterns that can be extended without rework.</w:t>
      </w:r>
    </w:p>
    <w:p>
      <w:pPr>
        <w:spacing w:after="160" w:before="0"/>
      </w:pPr>
      <w:r>
        <w:rPr>
          <w:rFonts w:ascii="Calibri" w:hAnsi="Calibri"/>
          <w:color w:val="1A1A1A"/>
          <w:sz w:val="22"/>
        </w:rPr>
        <w:t>The OOTB-first principle applies to the Service Catalog with particular force. Legacy catalogs are frequently the most customised part of a ServiceNow instance — and the most expensive to maintain. Custom variables, scripted approval logic, bespoke workflow engines, and team-centric category structures accumulate over years and block every platform upgrade and AI feature that depends on structured catalog data. This pack eliminates that debt at the point of the rebuild, not retroactively.</w:t>
      </w:r>
    </w:p>
    <w:p>
      <w:pPr>
        <w:spacing w:after="160" w:before="0"/>
      </w:pPr>
      <w:r>
        <w:rPr>
          <w:rFonts w:ascii="Calibri" w:hAnsi="Calibri"/>
          <w:color w:val="1A1A1A"/>
          <w:sz w:val="22"/>
        </w:rPr>
        <w:t>The six workbooks follow a deliberate sequence: agree the structure (Workbook 01), scope the items (Workbook 02), set the build standards (Workbook 03), design the fulfillment and approval patterns (Workbooks 04 and 05), then build from a complete configuration data sheet (Workbook 06). Do not skip or reorder workbooks — each one is a prerequisite for the next.</w:t>
      </w:r>
    </w:p>
    <w:p>
      <w:pPr>
        <w:pStyle w:val="Heading1"/>
      </w:pPr>
      <w:r>
        <w:t>The Six Workbooks</w:t>
      </w:r>
    </w:p>
    <w:tbl>
      <w:tblPr>
        <w:tblW w:type="auto" w:w="0"/>
        <w:jc w:val="left"/>
        <w:tblLook w:firstColumn="1" w:firstRow="1" w:lastColumn="0" w:lastRow="0" w:noHBand="0" w:noVBand="1" w:val="04A0"/>
      </w:tblPr>
      <w:tblGrid>
        <w:gridCol w:w="1872"/>
        <w:gridCol w:w="1872"/>
        <w:gridCol w:w="1872"/>
        <w:gridCol w:w="1872"/>
        <w:gridCol w:w="1872"/>
      </w:tblGrid>
      <w:tr>
        <w:trPr>
          <w:tblHeader/>
        </w:trPr>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Workbook</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Captures</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 Owner</w:t>
            </w:r>
          </w:p>
        </w:tc>
        <w:tc>
          <w:tcPr>
            <w:tcW w:type="dxa" w:w="26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 Window</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01</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Category Rationalization</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Simplified 3-level category structure (6 categories max); legacy category mapping; category ownership</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Process Owner</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Wk 2 – Sprint 4 Wk 1</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02</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Item Inventory &amp; Triage</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Legacy item inventory; Keep/Simplify/Retire decisions; Sprint 4 build list (max 15 items)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ITSM Process Owner + Fulfillment Leads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3 Wk 2 – Sprint 4 Wk 1</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03</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Item Template Standards</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5-variable rule; shared variable set; OOTB variable types; item description template; quality checklist</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SA (approved by ITSM PO)</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3 Wk 2 – Sprint 4 Wk 1</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04</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Fulfillment Workflow Decisions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Workflow model per item (Simple/Approval/Multi-stage); fulfillment routing; completion criteria; integration deferral</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SA + Fulfillment Leads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 Wks 1–2</w:t>
            </w:r>
          </w:p>
        </w:tc>
      </w:tr>
      <w:tr>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05</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 Matrix</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Approval policy per item; approval triggers (cost/compliance/policy); OOTB approval configuration; approval SLA</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ITSM PO + Finance/Compliance</w:t>
            </w:r>
          </w:p>
        </w:tc>
        <w:tc>
          <w:tcPr>
            <w:tcW w:type="dxa" w:w="26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4 Wk 1</w:t>
            </w:r>
          </w:p>
        </w:tc>
      </w:tr>
      <w:tr>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06</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Item Configuration Data</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Complete build data for each Sprint 4 item: description, variables, workflow, approval, quality gate</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Item Owners</w:t>
            </w:r>
          </w:p>
        </w:tc>
        <w:tc>
          <w:tcPr>
            <w:tcW w:type="dxa" w:w="26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4 Wks 1–2</w:t>
            </w:r>
          </w:p>
        </w:tc>
      </w:tr>
    </w:tbl>
    <w:p>
      <w:pPr>
        <w:spacing w:after="40"/>
      </w:pPr>
    </w:p>
    <w:p>
      <w:pPr>
        <w:spacing w:after="160" w:before="0"/>
      </w:pPr>
      <w:r>
        <w:rPr>
          <w:rFonts w:ascii="Calibri" w:hAnsi="Calibri"/>
          <w:color w:val="1A1A1A"/>
          <w:sz w:val="22"/>
        </w:rPr>
        <w:t>Each workbook contains eight tabs following the ECS standard Accelerator Pack structure: Instructions (start here); Process Decisions (workshop questions with ECS OOTB recommendations pre-filled); Dependencies; Configuration Data; R&amp;R (RACI); Consultant Guide (internal ECS reference); Adoption vs Re-engineering (OOTB defence language); and ServiceNow Mapping. Customers focus on Instructions, Process Decisions, and Configuration Data.</w:t>
      </w:r>
    </w:p>
    <w:p>
      <w:pPr>
        <w:pStyle w:val="Heading1"/>
      </w:pPr>
      <w:r>
        <w:t>Sprint Alignment</w:t>
      </w:r>
    </w:p>
    <w:p>
      <w:pPr>
        <w:spacing w:after="160" w:before="0"/>
      </w:pPr>
      <w:r>
        <w:rPr>
          <w:rFonts w:ascii="Calibri" w:hAnsi="Calibri"/>
          <w:color w:val="1A1A1A"/>
          <w:sz w:val="22"/>
        </w:rPr>
        <w:t>This pack primarily covers Month 2 of the 18-week engagement. The category and item triage workbooks (01 and 02) begin in Sprint 3 Week 2, alongside the ITSM core configuration. The catalog build workbooks (03–06) drive the Sprint 4 catalog configuration, delivering the first 10–15 high-priority catalog items by the end of Sprint 4. Remaining items from the triage list and any integration-dependent items are completed in Sprint 6.</w:t>
      </w:r>
    </w:p>
    <w:p>
      <w:pPr>
        <w:spacing w:after="160" w:before="0"/>
      </w:pPr>
      <w:r>
        <w:rPr>
          <w:rFonts w:ascii="Calibri" w:hAnsi="Calibri"/>
          <w:color w:val="1A1A1A"/>
          <w:sz w:val="22"/>
        </w:rPr>
        <w:t>Prerequisites from earlier sprints: the Foundation Data Pack (users, groups, locations) must be complete before fulfillment groups and approvers can be assigned. The CMDB-CSDM pack (Business Service taxonomy) should be referenced when naming catalog categories to ensure the two structures are complementary. The Integration Accelerator Pack status determines which catalog items can have automated fulfillment in Sprint 4 versus Sprint 6.</w:t>
      </w:r>
    </w:p>
    <w:p>
      <w:pPr>
        <w:pStyle w:val="Heading1"/>
      </w:pPr>
      <w:r>
        <w:t>OOTB-First Catalog Principles</w:t>
      </w:r>
    </w:p>
    <w:p>
      <w:pPr>
        <w:spacing w:after="160" w:before="0"/>
      </w:pPr>
      <w:r>
        <w:rPr>
          <w:rFonts w:ascii="Calibri" w:hAnsi="Calibri"/>
          <w:color w:val="1A1A1A"/>
          <w:sz w:val="22"/>
        </w:rPr>
        <w:t>Three rules govern every decision in this pack:</w:t>
      </w:r>
    </w:p>
    <w:p>
      <w:pPr>
        <w:spacing w:after="160" w:before="0"/>
      </w:pPr>
      <w:r>
        <w:rPr>
          <w:rFonts w:ascii="Calibri" w:hAnsi="Calibri"/>
          <w:color w:val="1A1A1A"/>
          <w:sz w:val="22"/>
        </w:rPr>
        <w:t>First, 6 categories and 15 items at MVP. The category ceiling and item count are not arbitrary constraints — they are the boundary between a catalog that gets adopted and one that gets abandoned. Every item added to the Sprint 4 build without a triage decision is an item that may be poorly built, poorly tested, or never used.</w:t>
      </w:r>
    </w:p>
    <w:p>
      <w:pPr>
        <w:spacing w:after="160" w:before="0"/>
      </w:pPr>
      <w:r>
        <w:rPr>
          <w:rFonts w:ascii="Calibri" w:hAnsi="Calibri"/>
          <w:color w:val="1A1A1A"/>
          <w:sz w:val="22"/>
        </w:rPr>
        <w:t>Second, 5 variables per item. Variables are where customization debt accumulates fastest. Every variable beyond 5 that cannot be tied directly to a fulfillment decision is a field that reduces completion rates without adding value. The shared variable set covers the common fields. Item-specific variables cover only what genuinely changes what the fulfillment team does.</w:t>
      </w:r>
    </w:p>
    <w:p>
      <w:pPr>
        <w:spacing w:after="160" w:before="0"/>
      </w:pPr>
      <w:r>
        <w:rPr>
          <w:rFonts w:ascii="Calibri" w:hAnsi="Calibri"/>
          <w:color w:val="1A1A1A"/>
          <w:sz w:val="22"/>
        </w:rPr>
        <w:t>Third, no-approval default. Approvals are added only where a specific business policy, cost threshold, or compliance requirement mandates them. Universal approval policies are the single most common cause of catalog abandonment in the mid-market segment.</w:t>
      </w:r>
    </w:p>
    <w:p>
      <w:pPr>
        <w:pStyle w:val="Heading1"/>
      </w:pPr>
      <w:r>
        <w:t>Completing This Pack Accurately and On Time</w:t>
      </w:r>
    </w:p>
    <w:p>
      <w:pPr>
        <w:spacing w:after="160" w:before="0"/>
      </w:pPr>
      <w:r>
        <w:rPr>
          <w:rFonts w:ascii="Calibri" w:hAnsi="Calibri"/>
          <w:color w:val="1A1A1A"/>
          <w:sz w:val="22"/>
        </w:rPr>
        <w:t>The category structure and item triage decisions (Workbooks 01 and 02) must be approved by the ITSM Process Owner before Sprint 4 begins. Configuration data (Workbook 06) must be complete for each item before that item is built. The quality gate in Workbook 06 — where ECS SA validates each item against the template standards before it goes live — is non-negotiable. Items that fail the quality gate are returned for revision, not built with the intention of fixing them after go-live.</w:t>
      </w:r>
    </w:p>
    <w:p>
      <w:pPr>
        <w:spacing w:after="160" w:before="0"/>
      </w:pPr>
      <w:r>
        <w:rPr>
          <w:rFonts w:ascii="Calibri" w:hAnsi="Calibri"/>
          <w:color w:val="1A1A1A"/>
          <w:sz w:val="22"/>
        </w:rPr>
        <w:t>Catalog adoption is measured from day one. Self-service submission rate, search abandon rate, and RITM resolution time are the three KPIs that tell you whether the catalog is working. Build them into the Sprint 4 go-live plan so the data is available for the Sprint 6 catalog build prioritisation.</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Service Catalog Accelerator Pack · ECS Federal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