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CLIENT DELIVERABLE - OPERATIONAL HANDOFF</w:t>
      </w:r>
    </w:p>
    <w:p>
      <w:pPr>
        <w:spacing w:before="0" w:after="40"/>
      </w:pPr>
      <w:r>
        <w:rPr>
          <w:rFonts w:ascii="Calibri" w:hAnsi="Calibri"/>
          <w:b/>
          <w:color w:val="0B1F3A"/>
          <w:sz w:val="56"/>
        </w:rPr>
        <w:t>Connection ServiceNow</w:t>
      </w:r>
    </w:p>
    <w:p>
      <w:pPr>
        <w:spacing w:before="0" w:after="40"/>
      </w:pPr>
      <w:r>
        <w:rPr>
          <w:rFonts w:ascii="Calibri" w:hAnsi="Calibri"/>
          <w:b/>
          <w:color w:val="0B1F3A"/>
          <w:sz w:val="56"/>
        </w:rPr>
        <w:t>Operational Handoff Pack</w:t>
      </w:r>
    </w:p>
    <w:p>
      <w:pPr>
        <w:spacing w:before="120" w:after="400"/>
      </w:pPr>
      <w:r>
        <w:rPr>
          <w:rFonts w:ascii="Calibri" w:hAnsi="Calibri"/>
          <w:i/>
          <w:color w:val="0D9488"/>
          <w:sz w:val="24"/>
        </w:rPr>
        <w:t>Who owns what, the support model, and escalation - for steady-state operations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Connection platform team, Service Desk &amp; IT leadership; ECS</w:t>
      </w:r>
    </w:p>
    <w:p>
      <w:pPr>
        <w:spacing w:after="40"/>
      </w:pPr>
      <w:r>
        <w:rPr>
          <w:rFonts w:ascii="Calibri" w:hAnsi="Calibri"/>
          <w:b w:val="0"/>
          <w:i w:val="0"/>
          <w:color w:val="475569"/>
          <w:sz w:val="20"/>
        </w:rPr>
        <w:t>Companion to: Administrator Guide &amp; KT - Hypercare - Cutover Runbook</w:t>
      </w:r>
    </w:p>
    <w:p>
      <w:pPr>
        <w:spacing w:after="80"/>
      </w:pPr>
      <w:r>
        <w:rPr>
          <w:rFonts w:ascii="Calibri" w:hAnsi="Calibri"/>
          <w:b w:val="0"/>
          <w:i w:val="0"/>
          <w:color w:val="475569"/>
          <w:sz w:val="20"/>
        </w:rPr>
        <w:t>Document ID: DEL-CONN-HND-01     ·     Version: 1.0 (template)     ·     Status: Template</w:t>
      </w:r>
    </w:p>
    <w:p>
      <w:pPr>
        <w:spacing w:after="280"/>
      </w:pPr>
      <w:r>
        <w:rPr>
          <w:rFonts w:ascii="Calibri" w:hAnsi="Calibri"/>
          <w:b w:val="0"/>
          <w:i/>
          <w:color w:val="475569"/>
          <w:sz w:val="20"/>
        </w:rPr>
        <w:t>ECS Federal - ServiceNow Practice - Confidential</w:t>
      </w:r>
    </w:p>
    <w:p>
      <w:r>
        <w:br w:type="page"/>
      </w:r>
    </w:p>
    <w:p>
      <w:pPr>
        <w:pStyle w:val="Heading1"/>
      </w:pPr>
      <w:r>
        <w:t>How to Use This Pack</w:t>
      </w:r>
    </w:p>
    <w:p>
      <w:pPr>
        <w:spacing w:after="160" w:before="0"/>
      </w:pPr>
      <w:r>
        <w:rPr>
          <w:rFonts w:ascii="Calibri" w:hAnsi="Calibri"/>
          <w:color w:val="1A1A1A"/>
          <w:sz w:val="22"/>
        </w:rPr>
        <w:t>This pack transfers operational ownership of the Connection platform from ECS to Connection at the end of Hypercare. It records who owns each area, the support model, and escalation paths. Confirm names in the [brackets] during Hypercare and sign off at exit.</w:t>
      </w:r>
    </w:p>
    <w:p>
      <w:pPr>
        <w:pStyle w:val="Heading1"/>
      </w:pPr>
      <w:r>
        <w:t>1.  Ownership Matrix</w:t>
      </w:r>
    </w:p>
    <w:p>
      <w:pPr>
        <w:spacing w:after="160" w:before="0"/>
      </w:pPr>
      <w:r>
        <w:rPr>
          <w:rFonts w:ascii="Calibri" w:hAnsi="Calibri"/>
          <w:color w:val="1A1A1A"/>
          <w:sz w:val="22"/>
        </w:rPr>
        <w:t>Each platform area has a named Connection owner for steady-state operations: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Area</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Connection Owner</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they own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administration</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Admin]</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Users, groups, roles, update sets, properties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 CSDM</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Owner]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data quality, health, reconciliation, Discovery</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processes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Owner(s)]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Problem, Change, Request configuration &amp; governance</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Catalog</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Owner]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Items, approvals, fulfillment, retirement</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[KM Owner]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KB content, workflow, governance</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Employee Center / VA</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 Owner]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Portal, topics, Virtual Agent</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Integrations / CTI</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[Integration Owner]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SGC, AD/SSO, email, Vonage CTI</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Analytics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[Analytics Owner]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 indicators, dashboards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Governance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Lead]</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Council, Triage Log, upgrade governance</w:t>
            </w:r>
          </w:p>
        </w:tc>
      </w:tr>
    </w:tbl>
    <w:p>
      <w:pPr>
        <w:spacing w:after="40"/>
      </w:pPr>
    </w:p>
    <w:p>
      <w:pPr>
        <w:pStyle w:val="Heading1"/>
      </w:pPr>
      <w:r>
        <w:t>2.  Support Model</w:t>
      </w:r>
    </w:p>
    <w:p>
      <w:pPr>
        <w:spacing w:after="160" w:before="0"/>
      </w:pPr>
      <w:r>
        <w:rPr>
          <w:rFonts w:ascii="Calibri" w:hAnsi="Calibri"/>
          <w:color w:val="1A1A1A"/>
          <w:sz w:val="22"/>
        </w:rPr>
        <w:t>Tiered support after go-live (per SOW Section 11):</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Level</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Provider</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Function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Level 0</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Connection</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Self-help, knowledge, Virtual Agent</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Level 1</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Connection</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Desk intake and first-line resolution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Level 2</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Connection (then ECS during Hypercare)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In-depth technical support; ECS provides L2+ during the Hypercare window</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Level 3</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ServiceNow</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Product/platform vendor support</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During Hypercare (2 weeks), ECS provides L2+ escalation for P1/P2 ServiceNow issues in business hours. After Hypercare exit, Connection owns L0-L2; ECS engagement support ends.</w:t>
      </w:r>
    </w:p>
    <w:p>
      <w:pPr>
        <w:pStyle w:val="Heading1"/>
      </w:pPr>
      <w:r>
        <w:t>3.  Escalation Path &amp; Contacts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Trigger</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Escalate to</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Contact</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P1 production issue (Hypercare)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L2+ / EM</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contact]</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P1 production issue (post-Hypercare)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Connection platform lead -&gt; ServiceNow</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[Connection / SN]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Platform/upgrade question</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Connection platform lead</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[name]</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Future enhancement / new scope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Connection platform lead -&gt; ECS (new SOW)</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[name]</w:t>
            </w:r>
          </w:p>
        </w:tc>
      </w:tr>
    </w:tbl>
    <w:p>
      <w:pPr>
        <w:spacing w:after="40"/>
      </w:pPr>
    </w:p>
    <w:p>
      <w:pPr>
        <w:pStyle w:val="Heading1"/>
      </w:pPr>
      <w:r>
        <w:t>4.  Run &amp; Maintain Responsibilities</w:t>
      </w:r>
    </w:p>
    <w:p>
      <w:pPr>
        <w:pStyle w:val="ListBullet"/>
        <w:spacing w:after="40"/>
        <w:ind w:left="360"/>
      </w:pPr>
      <w:r>
        <w:rPr>
          <w:rFonts w:ascii="Calibri" w:hAnsi="Calibri"/>
          <w:sz w:val="22"/>
        </w:rPr>
        <w:t>Monitor CMDB Health, scheduled jobs/imports, and integration health.</w:t>
      </w:r>
    </w:p>
    <w:p>
      <w:pPr>
        <w:pStyle w:val="ListBullet"/>
        <w:spacing w:after="40"/>
        <w:ind w:left="360"/>
      </w:pPr>
      <w:r>
        <w:rPr>
          <w:rFonts w:ascii="Calibri" w:hAnsi="Calibri"/>
          <w:sz w:val="22"/>
        </w:rPr>
        <w:t>Manage update sets and promotions; never develop in production.</w:t>
      </w:r>
    </w:p>
    <w:p>
      <w:pPr>
        <w:pStyle w:val="ListBullet"/>
        <w:spacing w:after="40"/>
        <w:ind w:left="360"/>
      </w:pPr>
      <w:r>
        <w:rPr>
          <w:rFonts w:ascii="Calibri" w:hAnsi="Calibri"/>
          <w:sz w:val="22"/>
        </w:rPr>
        <w:t>Operate the Customization Council and Triage Log to stay OOTB-aligned.</w:t>
      </w:r>
    </w:p>
    <w:p>
      <w:pPr>
        <w:pStyle w:val="ListBullet"/>
        <w:spacing w:after="40"/>
        <w:ind w:left="360"/>
      </w:pPr>
      <w:r>
        <w:rPr>
          <w:rFonts w:ascii="Calibri" w:hAnsi="Calibri"/>
          <w:sz w:val="22"/>
        </w:rPr>
        <w:t>Apply ServiceNow releases - test in sub-prod first; review skipped records.</w:t>
      </w:r>
    </w:p>
    <w:p>
      <w:pPr>
        <w:pStyle w:val="ListBullet"/>
        <w:spacing w:after="40"/>
        <w:ind w:left="360"/>
      </w:pPr>
      <w:r>
        <w:rPr>
          <w:rFonts w:ascii="Calibri" w:hAnsi="Calibri"/>
          <w:sz w:val="22"/>
        </w:rPr>
        <w:t>Maintain knowledge content and catalog items per their governance models.</w:t>
      </w:r>
    </w:p>
    <w:p>
      <w:pPr>
        <w:pStyle w:val="Heading1"/>
      </w:pPr>
      <w:r>
        <w:t>5.  Transition / Exit Criteria</w:t>
      </w:r>
    </w:p>
    <w:p>
      <w:pPr>
        <w:pStyle w:val="ListBullet"/>
        <w:spacing w:after="40"/>
        <w:ind w:left="360"/>
      </w:pPr>
      <w:r>
        <w:rPr>
          <w:rFonts w:ascii="Calibri" w:hAnsi="Calibri"/>
          <w:sz w:val="22"/>
        </w:rPr>
        <w:t>Hypercare exit criteria met (stability; no open P1/P2 attributable to ECS config).</w:t>
      </w:r>
    </w:p>
    <w:p>
      <w:pPr>
        <w:pStyle w:val="ListBullet"/>
        <w:spacing w:after="40"/>
        <w:ind w:left="360"/>
      </w:pPr>
      <w:r>
        <w:rPr>
          <w:rFonts w:ascii="Calibri" w:hAnsi="Calibri"/>
          <w:sz w:val="22"/>
        </w:rPr>
        <w:t>KT Package delivered and acknowledged; admin team confident.</w:t>
      </w:r>
    </w:p>
    <w:p>
      <w:pPr>
        <w:pStyle w:val="ListBullet"/>
        <w:spacing w:after="40"/>
        <w:ind w:left="360"/>
      </w:pPr>
      <w:r>
        <w:rPr>
          <w:rFonts w:ascii="Calibri" w:hAnsi="Calibri"/>
          <w:sz w:val="22"/>
        </w:rPr>
        <w:t>Ownership matrix names confirmed; escalation contacts live.</w:t>
      </w:r>
    </w:p>
    <w:p>
      <w:pPr>
        <w:pStyle w:val="ListBullet"/>
        <w:spacing w:after="40"/>
        <w:ind w:left="360"/>
      </w:pPr>
      <w:r>
        <w:rPr>
          <w:rFonts w:ascii="Calibri" w:hAnsi="Calibri"/>
          <w:sz w:val="22"/>
        </w:rPr>
        <w:t>Operational Handoff signed off by Connection platform lead and Sponsor.</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Sign-off here marks the formal transition to Connection-owned steady-state operations.</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Connection - Operational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