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CLIENT DELIVERABLE - ADMIN KT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ServiceNow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Administrator Guide &amp; Knowledge Transfer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Platform administration, update set management, and OOTB governance - Go-Live KT Package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Connection platform administrators &amp; IT operations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SOW v2.0 Sec 11 - Knowledge Transfer Package - Engagement Delivery Guidelines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DEL-CONN-ADMIN-01     ·     Version: 1.0 (template)     ·     Status: Template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is the administrator reference handed to Connection's platform team at Go-Live, and the backbone for the four Admin Knowledge Transfer (KT) sessions in SOW Section 11. ECS completes the [bracketed] module specifics during the build; the structure is fixed. It keeps the platform OOTB-aligned and upgrade-safe after handover.</w:t>
      </w:r>
    </w:p>
    <w:p>
      <w:pPr>
        <w:pStyle w:val="Heading1"/>
      </w:pPr>
      <w:r>
        <w:t>1.  Admin KT Session Plan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Four remote sessions covering platform administration, update set management, and OOTB governance (SOW Sec 11).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Session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Topic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Who attends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KT-1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administration basics - users, groups, roles, assignment, notifications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admins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KT-2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set management - capture, promotion dev&gt;test&gt;prod, hygiene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admins + developers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KT-3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governance - Rule of Three, Customization Council, Triage Log, staying upgrade-safe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Admins + platform owner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KT-4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Per-module administration + open Q&amp;A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Admins + process owners</w:t>
            </w:r>
          </w:p>
        </w:tc>
      </w:tr>
    </w:tbl>
    <w:p>
      <w:pPr>
        <w:spacing w:after="40"/>
      </w:pPr>
    </w:p>
    <w:p>
      <w:pPr>
        <w:pStyle w:val="Heading1"/>
      </w:pPr>
      <w:r>
        <w:t>2.  Platform Administration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Users, groups, and roles - provisioning via AD import; OOTB roles (itil, admin, catalog_admin, asset).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Assignment rules and routing - OOTB assignment configuration per process area.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Notifications and email - OOTB notification records and templates; inbound/outbound email.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Schedules, business hours, and system properties - OOTB configuration only.</w:t>
      </w:r>
    </w:p>
    <w:p>
      <w:pPr>
        <w:pStyle w:val="Heading1"/>
      </w:pPr>
      <w:r>
        <w:t>3.  Update Set Management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All development happens in sub-production; never build directly in production.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Capture changes in named update sets; promote dev -&gt; test -&gt; prod with review at each gate.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Update set hygiene: one logical change per set where practical; review for collisions before promotion.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Use the OOTB update set preview/commit; resolve conflicts before commit.</w:t>
      </w:r>
    </w:p>
    <w:p>
      <w:pPr>
        <w:pStyle w:val="Heading1"/>
      </w:pPr>
      <w:r>
        <w:t>4.  OOTB Governance Principles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platform stays valuable because it stays OOTB-aligned. Carry the engagement's discipline forward: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Rule of Three - meet a need with Configuration, UI Policy, or Flow Designer before treating it as a customization.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Customization Council + Two-Key decision - any deviation needs a business-need and a technical-path approval.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Governance Triage Log - keep logging deviation decisions transparently after handover.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Upgrade safety - avoid changes to protected/OOTB objects; keep customizations documented and minimal.</w:t>
      </w:r>
    </w:p>
    <w:p>
      <w:pPr>
        <w:pStyle w:val="Heading1"/>
      </w:pPr>
      <w:r>
        <w:t>5.  Per-Module Administration Quick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admin tasks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Where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(Incident/Problem/Change)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Categories, assignment, SLAs, CAB, standard changes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[module admin areas]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Items, variable sets, approvals, fulfillment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Builder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KBs, categories, article workflow, feedback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admin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/ VA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Topics, branding, VA topics, AI Search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 + VA Studio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/ CSDM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 classes, health, reconciliation, Discovery schedules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Workspace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Stockrooms, asset classes, lifecycle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Asset admin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Integrations / CTI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SGC schedules, OpenFrame/Vonage, credentials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admin</w:t>
            </w:r>
          </w:p>
        </w:tc>
      </w:tr>
    </w:tbl>
    <w:p>
      <w:pPr>
        <w:spacing w:after="40"/>
      </w:pPr>
    </w:p>
    <w:p>
      <w:pPr>
        <w:pStyle w:val="Heading1"/>
      </w:pPr>
      <w:r>
        <w:t>6.  Health &amp; Maintenance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CMDB Health dashboard - monitor completeness, staleness, compliance.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Scheduled jobs and imports - confirm Discovery/SGC runs and AD imports succeed.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Platform Analytics - review MTTR, SLA, change-success dashboards.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Release upgrades - test in sub-prod first; review skipped/ skipped-record reports.</w:t>
      </w:r>
    </w:p>
    <w:p>
      <w:pPr>
        <w:pStyle w:val="Heading1"/>
      </w:pPr>
      <w:r>
        <w:t>7.  Getting Help &amp; Escalation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Level 0-1 support is Connection's Service Desk; Level 2 escalation to ECS during the Hypercare window, then to Connection's platform team and ServiceNow (Level 3) per the Operational Handoff Pack.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This guide pairs with the Train-the-Trainer Toolkit (end-user enablement) to complete the Knowledge Transfer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Administrator Guide &amp; 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