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PLATFORM FOUNDATION</w:t>
      </w:r>
    </w:p>
    <w:p>
      <w:pPr>
        <w:spacing w:before="0" w:after="40"/>
      </w:pPr>
      <w:r>
        <w:rPr>
          <w:rFonts w:ascii="Calibri" w:hAnsi="Calibri"/>
          <w:b/>
          <w:color w:val="0B1F3A"/>
          <w:sz w:val="56"/>
        </w:rPr>
        <w:t>Platform Foundation</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Understanding the baseline that makes everything else possible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Platform Owners, Security &amp; Compliance Teams, Project Sponsors</w:t>
      </w:r>
    </w:p>
    <w:p>
      <w:pPr>
        <w:spacing w:after="40"/>
      </w:pPr>
      <w:r>
        <w:rPr>
          <w:rFonts w:ascii="Calibri" w:hAnsi="Calibri"/>
          <w:b w:val="0"/>
          <w:i w:val="0"/>
          <w:color w:val="475569"/>
          <w:sz w:val="20"/>
        </w:rPr>
        <w:t>Companion to: Sprint 0 Customer Readiness Checklist · 18-Week Engagement Overview</w:t>
      </w:r>
    </w:p>
    <w:p>
      <w:pPr>
        <w:spacing w:after="80"/>
      </w:pPr>
      <w:r>
        <w:rPr>
          <w:rFonts w:ascii="Calibri" w:hAnsi="Calibri"/>
          <w:b w:val="0"/>
          <w:i w:val="0"/>
          <w:color w:val="475569"/>
          <w:sz w:val="20"/>
        </w:rPr>
        <w:t>Document ID: CLT-WP-02a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Platform Foundation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The Platform Foundation workshop is one of the first sessions in your engagement. The decisions made here — about instance strategy, user provisioning, access controls, and integration foundations — shape everything that comes after. Reading this gives you the context to participate fully and make those early decisions with confidence.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Platform Foundation?</w:t>
      </w:r>
    </w:p>
    <w:p>
      <w:pPr>
        <w:spacing w:after="160" w:before="0"/>
      </w:pPr>
      <w:r>
        <w:rPr>
          <w:rFonts w:ascii="Calibri" w:hAnsi="Calibri"/>
          <w:color w:val="1A1A1A"/>
          <w:sz w:val="22"/>
        </w:rPr>
        <w:t>Platform Foundation refers to the core configuration layer of your ServiceNow instance: the instance strategy, data architecture, identity and access management, integration framework, and the baseline platform health that every downstream process area depends on. It is the invisible scaffolding that determines whether your ServiceNow investment compounds or fragments over time.</w:t>
      </w:r>
    </w:p>
    <w:p>
      <w:pPr>
        <w:pStyle w:val="ListBullet"/>
        <w:spacing w:after="40"/>
        <w:ind w:left="360"/>
      </w:pPr>
      <w:r>
        <w:rPr>
          <w:rFonts w:ascii="Calibri" w:hAnsi="Calibri"/>
          <w:sz w:val="22"/>
        </w:rPr>
        <w:t>Instance strategy — single instance vs. multi-instance, domain separation decisions</w:t>
      </w:r>
    </w:p>
    <w:p>
      <w:pPr>
        <w:pStyle w:val="ListBullet"/>
        <w:spacing w:after="40"/>
        <w:ind w:left="360"/>
      </w:pPr>
      <w:r>
        <w:rPr>
          <w:rFonts w:ascii="Calibri" w:hAnsi="Calibri"/>
          <w:sz w:val="22"/>
        </w:rPr>
        <w:t>User provisioning — how users are created, managed, and deactivated (typically Active Directory or Entra ID)</w:t>
      </w:r>
    </w:p>
    <w:p>
      <w:pPr>
        <w:pStyle w:val="ListBullet"/>
        <w:spacing w:after="40"/>
        <w:ind w:left="360"/>
      </w:pPr>
      <w:r>
        <w:rPr>
          <w:rFonts w:ascii="Calibri" w:hAnsi="Calibri"/>
          <w:sz w:val="22"/>
        </w:rPr>
        <w:t>Role and access management — who can see and do what in the platform</w:t>
      </w:r>
    </w:p>
    <w:p>
      <w:pPr>
        <w:pStyle w:val="ListBullet"/>
        <w:spacing w:after="40"/>
        <w:ind w:left="360"/>
      </w:pPr>
      <w:r>
        <w:rPr>
          <w:rFonts w:ascii="Calibri" w:hAnsi="Calibri"/>
          <w:sz w:val="22"/>
        </w:rPr>
        <w:t>Integration framework — how ServiceNow connects to your other enterprise systems</w:t>
      </w:r>
    </w:p>
    <w:p>
      <w:pPr>
        <w:pStyle w:val="ListBullet"/>
        <w:spacing w:after="40"/>
        <w:ind w:left="360"/>
      </w:pPr>
      <w:r>
        <w:rPr>
          <w:rFonts w:ascii="Calibri" w:hAnsi="Calibri"/>
          <w:sz w:val="22"/>
        </w:rPr>
        <w:t>Platform health baseline — performance, update schedule, and upgrade readiness</w:t>
      </w:r>
    </w:p>
    <w:p>
      <w:pPr>
        <w:spacing w:after="160" w:before="0"/>
      </w:pPr>
      <w:r>
        <w:rPr>
          <w:rFonts w:ascii="Calibri" w:hAnsi="Calibri"/>
          <w:color w:val="1A1A1A"/>
          <w:sz w:val="22"/>
        </w:rPr>
        <w:t>Getting foundation decisions right at the start is significantly less costly than revisiting them mid-engagement. This workshop exists precisely to surface those decisions early.</w:t>
      </w:r>
    </w:p>
    <w:p>
      <w:pPr>
        <w:pStyle w:val="Heading1"/>
      </w:pPr>
      <w:r>
        <w:t>2.  Why It Matters in Your ServiceNow Journey</w:t>
      </w:r>
    </w:p>
    <w:p>
      <w:pPr>
        <w:spacing w:after="160" w:before="0"/>
      </w:pPr>
      <w:r>
        <w:rPr>
          <w:rFonts w:ascii="Calibri" w:hAnsi="Calibri"/>
          <w:color w:val="1A1A1A"/>
          <w:sz w:val="22"/>
        </w:rPr>
        <w:t>Every process area in your implementation — Incident, Change, Catalog, CMDB, Virtual Agent, AI — sits on top of the platform foundation. A well-structured foundation means cleaner data, faster onboarding of new capabilities, and a direct path to AI realization. A fragmented foundation means rework that compounds with every capability you add.</w:t>
      </w:r>
    </w:p>
    <w:p>
      <w:pPr>
        <w:pStyle w:val="ListBullet"/>
        <w:spacing w:after="40"/>
        <w:ind w:left="360"/>
      </w:pPr>
      <w:r>
        <w:rPr>
          <w:rFonts w:ascii="Calibri" w:hAnsi="Calibri"/>
          <w:sz w:val="22"/>
        </w:rPr>
        <w:t>Identity integration (AD/Entra) done correctly means no manual user management throughout the engagement</w:t>
      </w:r>
    </w:p>
    <w:p>
      <w:pPr>
        <w:pStyle w:val="ListBullet"/>
        <w:spacing w:after="40"/>
        <w:ind w:left="360"/>
      </w:pPr>
      <w:r>
        <w:rPr>
          <w:rFonts w:ascii="Calibri" w:hAnsi="Calibri"/>
          <w:sz w:val="22"/>
        </w:rPr>
        <w:t>Role design done once, correctly, prevents access-control debt that typically surfaces during UAT</w:t>
      </w:r>
    </w:p>
    <w:p>
      <w:pPr>
        <w:pStyle w:val="ListBullet"/>
        <w:spacing w:after="40"/>
        <w:ind w:left="360"/>
      </w:pPr>
      <w:r>
        <w:rPr>
          <w:rFonts w:ascii="Calibri" w:hAnsi="Calibri"/>
          <w:sz w:val="22"/>
        </w:rPr>
        <w:t>Integration framework decisions determine whether your 16-week build is additive or constantly interrupted by connectivity issues</w:t>
      </w:r>
    </w:p>
    <w:p>
      <w:pPr>
        <w:pStyle w:val="Heading1"/>
      </w:pPr>
      <w:r>
        <w:t>3.  What ServiceNow Delivers Out of the Box</w:t>
      </w:r>
    </w:p>
    <w:p>
      <w:pPr>
        <w:spacing w:after="160" w:before="0"/>
      </w:pPr>
      <w:r>
        <w:rPr>
          <w:rFonts w:ascii="Calibri" w:hAnsi="Calibri"/>
          <w:color w:val="1A1A1A"/>
          <w:sz w:val="22"/>
        </w:rPr>
        <w:t>ServiceNow's out-of-the-box platform capabilities are more comprehensive than most teams realize before their first implementation. Below are the key capabilities your team will work with during the Foundation workshop.</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Identity Provider Integration (AD/Entra/SAML)</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Automated user provisioning, group sync, and single sign-on — eliminates manual user management</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Role-Based Access Control (RBAC)</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Granular, auditable access by role, group, and condition — OOTB roles cover most operational needs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Import Sets &amp; Transform Maps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Structured data ingestion from external systems with field mapping, transformation, and error handling</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REST/SOAP Integration Framework</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Bi-directional API connectivity with external systems, with built-in retry, logging, and error management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Update Sets &amp; Source Control</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Configuration packaging for promotion across dev/test/prod instances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Scheduled Jobs &amp; System Properties</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Platform-level automation for maintenance, cleanup, and operational hygiene</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Instance Upgrade Management</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Structured approach to staying current with ServiceNow releases</w:t>
            </w:r>
          </w:p>
        </w:tc>
      </w:tr>
    </w:tbl>
    <w:p>
      <w:pPr>
        <w:spacing w:after="40"/>
      </w:pPr>
    </w:p>
    <w:p>
      <w:pPr>
        <w:spacing w:after="160" w:before="0"/>
      </w:pPr>
      <w:r>
        <w:rPr>
          <w:rFonts w:ascii="Calibri" w:hAnsi="Calibri"/>
          <w:color w:val="1A1A1A"/>
          <w:sz w:val="22"/>
        </w:rPr>
        <w:t>The workshop will walk through which of these capabilities apply to your environment and what inputs are needed from your team to configure them correctly from the start.</w:t>
      </w:r>
    </w:p>
    <w:p>
      <w:r>
        <w:br w:type="page"/>
      </w:r>
    </w:p>
    <w:p>
      <w:pPr>
        <w:pStyle w:val="Heading1"/>
      </w:pPr>
      <w:r>
        <w:t>4.  The Key Decisions You Will Make in Our Workshop</w:t>
      </w:r>
    </w:p>
    <w:p>
      <w:pPr>
        <w:spacing w:after="160" w:before="0"/>
      </w:pPr>
      <w:r>
        <w:rPr>
          <w:rFonts w:ascii="Calibri" w:hAnsi="Calibri"/>
          <w:color w:val="1A1A1A"/>
          <w:sz w:val="22"/>
        </w:rPr>
        <w:t>These are the decisions that will shape your platform foundation. We will work through each one in the workshop. Knowing they are coming lets you bring the right stakeholders and information.</w:t>
      </w:r>
    </w:p>
    <w:p>
      <w:pPr>
        <w:pStyle w:val="Heading2"/>
      </w:pPr>
      <w:r>
        <w:t>Decision 1: Instance Strategy</w:t>
      </w:r>
    </w:p>
    <w:p>
      <w:pPr>
        <w:spacing w:after="160" w:before="0"/>
      </w:pPr>
      <w:r>
        <w:rPr>
          <w:rFonts w:ascii="Calibri" w:hAnsi="Calibri"/>
          <w:color w:val="1A1A1A"/>
          <w:sz w:val="22"/>
        </w:rPr>
        <w:t>Will you use a single ServiceNow instance for all business units, or a multi-instance model? For most mid-to-large federal organizations, a single instance with domain awareness is the right answer — but the tradeoffs deserve a deliberate conversation.</w:t>
      </w:r>
    </w:p>
    <w:p>
      <w:pPr>
        <w:spacing w:after="160" w:before="0"/>
      </w:pPr>
      <w:r>
        <w:rPr>
          <w:rFonts w:ascii="Calibri" w:hAnsi="Calibri"/>
          <w:i/>
          <w:color w:val="1A1A1A"/>
          <w:sz w:val="22"/>
        </w:rPr>
        <w:t>Trade-off to consider: Single instance simplifies governance and reduces cost; multi-instance provides stronger isolation but multiplies administrative overhead.</w:t>
      </w:r>
    </w:p>
    <w:p>
      <w:pPr>
        <w:pStyle w:val="Heading2"/>
      </w:pPr>
      <w:r>
        <w:t>Decision 2: Identity Integration Approach</w:t>
      </w:r>
    </w:p>
    <w:p>
      <w:pPr>
        <w:spacing w:after="160" w:before="0"/>
      </w:pPr>
      <w:r>
        <w:rPr>
          <w:rFonts w:ascii="Calibri" w:hAnsi="Calibri"/>
          <w:color w:val="1A1A1A"/>
          <w:sz w:val="22"/>
        </w:rPr>
        <w:t>How will users be provisioned — via Active Directory sync, Entra ID (Azure AD), SAML federation, or a combination? The answer determines your user data quality from day one. We will review your current directory structure and recommend an integration pattern.</w:t>
      </w:r>
    </w:p>
    <w:p>
      <w:pPr>
        <w:spacing w:after="160" w:before="0"/>
      </w:pPr>
      <w:r>
        <w:rPr>
          <w:rFonts w:ascii="Calibri" w:hAnsi="Calibri"/>
          <w:i/>
          <w:color w:val="1A1A1A"/>
          <w:sz w:val="22"/>
        </w:rPr>
        <w:t>Trade-off to consider: Directory sync is the most automated and accurate; manual provisioning is fastest to stand up but creates ongoing maintenance debt.</w:t>
      </w:r>
    </w:p>
    <w:p>
      <w:pPr>
        <w:pStyle w:val="Heading2"/>
      </w:pPr>
      <w:r>
        <w:t>Decision 3: Role Design Scope</w:t>
      </w:r>
    </w:p>
    <w:p>
      <w:pPr>
        <w:spacing w:after="160" w:before="0"/>
      </w:pPr>
      <w:r>
        <w:rPr>
          <w:rFonts w:ascii="Calibri" w:hAnsi="Calibri"/>
          <w:color w:val="1A1A1A"/>
          <w:sz w:val="22"/>
        </w:rPr>
        <w:t>Will you use ServiceNow's baseline OOTB role set, supplement with custom roles for specific business units, or build a fully custom role hierarchy? OOTB roles cover the overwhelming majority of operational needs and are maintained through upgrades.</w:t>
      </w:r>
    </w:p>
    <w:p>
      <w:pPr>
        <w:spacing w:after="160" w:before="0"/>
      </w:pPr>
      <w:r>
        <w:rPr>
          <w:rFonts w:ascii="Calibri" w:hAnsi="Calibri"/>
          <w:i/>
          <w:color w:val="1A1A1A"/>
          <w:sz w:val="22"/>
        </w:rPr>
        <w:t>Trade-off to consider: Custom roles offer precise fit but require maintenance with every upgrade; OOTB roles are upgrade-safe and sufficient for most requirements.</w:t>
      </w:r>
    </w:p>
    <w:p>
      <w:pPr>
        <w:pStyle w:val="Heading2"/>
      </w:pPr>
      <w:r>
        <w:t>Decision 4: Environment Promotion Strategy</w:t>
      </w:r>
    </w:p>
    <w:p>
      <w:pPr>
        <w:spacing w:after="160" w:before="0"/>
      </w:pPr>
      <w:r>
        <w:rPr>
          <w:rFonts w:ascii="Calibri" w:hAnsi="Calibri"/>
          <w:color w:val="1A1A1A"/>
          <w:sz w:val="22"/>
        </w:rPr>
        <w:t>How many instances will you use (dev/test/prod), and what is the process for promoting changes between them? We will recommend a promotion workflow that keeps environments synchronized without slowing delivery.</w:t>
      </w:r>
    </w:p>
    <w:p>
      <w:pPr>
        <w:spacing w:after="160" w:before="0"/>
      </w:pPr>
      <w:r>
        <w:rPr>
          <w:rFonts w:ascii="Calibri" w:hAnsi="Calibri"/>
          <w:i/>
          <w:color w:val="1A1A1A"/>
          <w:sz w:val="22"/>
        </w:rPr>
        <w:t>Trade-off to consider: More environments provide more testing gates but increase management overhead; fewer environments move faster but carry higher production risk.</w:t>
      </w:r>
    </w:p>
    <w:p>
      <w:pPr>
        <w:pStyle w:val="Heading1"/>
      </w:pPr>
      <w:r>
        <w:t>5.  Things to Think About Before We Meet</w:t>
      </w:r>
    </w:p>
    <w:p>
      <w:pPr>
        <w:spacing w:after="160" w:before="0"/>
      </w:pPr>
      <w:r>
        <w:rPr>
          <w:rFonts w:ascii="Calibri" w:hAnsi="Calibri"/>
          <w:color w:val="1A1A1A"/>
          <w:sz w:val="22"/>
        </w:rPr>
        <w:t>These questions will help you come to the workshop prepared. Share them with the colleagues who own these areas — you may not have all the answers yourself, and that is expected.</w:t>
      </w:r>
    </w:p>
    <w:p>
      <w:pPr>
        <w:pStyle w:val="ListBullet"/>
        <w:spacing w:after="40"/>
        <w:ind w:left="360"/>
      </w:pPr>
      <w:r>
        <w:rPr>
          <w:rFonts w:ascii="Calibri" w:hAnsi="Calibri"/>
          <w:sz w:val="22"/>
        </w:rPr>
        <w:t>Who owns your Active Directory or Entra ID environment, and are they available to engage during the foundation sprint?</w:t>
      </w:r>
    </w:p>
    <w:p>
      <w:pPr>
        <w:pStyle w:val="ListBullet"/>
        <w:spacing w:after="40"/>
        <w:ind w:left="360"/>
      </w:pPr>
      <w:r>
        <w:rPr>
          <w:rFonts w:ascii="Calibri" w:hAnsi="Calibri"/>
          <w:sz w:val="22"/>
        </w:rPr>
        <w:t>Do you currently have a dev/test/prod instance structure, or are you starting fresh?</w:t>
      </w:r>
    </w:p>
    <w:p>
      <w:pPr>
        <w:pStyle w:val="ListBullet"/>
        <w:spacing w:after="40"/>
        <w:ind w:left="360"/>
      </w:pPr>
      <w:r>
        <w:rPr>
          <w:rFonts w:ascii="Calibri" w:hAnsi="Calibri"/>
          <w:sz w:val="22"/>
        </w:rPr>
        <w:t>Are there business units or organizational boundaries that need to be preserved in the platform (e.g., separate data visibility for different departments)?</w:t>
      </w:r>
    </w:p>
    <w:p>
      <w:pPr>
        <w:pStyle w:val="ListBullet"/>
        <w:spacing w:after="40"/>
        <w:ind w:left="360"/>
      </w:pPr>
      <w:r>
        <w:rPr>
          <w:rFonts w:ascii="Calibri" w:hAnsi="Calibri"/>
          <w:sz w:val="22"/>
        </w:rPr>
        <w:t>What enterprise systems will ServiceNow need to connect to in the first phase of implementation?</w:t>
      </w:r>
    </w:p>
    <w:p>
      <w:pPr>
        <w:pStyle w:val="ListBullet"/>
        <w:spacing w:after="40"/>
        <w:ind w:left="360"/>
      </w:pPr>
      <w:r>
        <w:rPr>
          <w:rFonts w:ascii="Calibri" w:hAnsi="Calibri"/>
          <w:sz w:val="22"/>
        </w:rPr>
        <w:t>Who has authority to approve changes to your identity provider configuration?</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Current Active Directory / Entra ID structure (org chart or group listing)</w:t>
      </w:r>
    </w:p>
    <w:p>
      <w:pPr>
        <w:pStyle w:val="ListBullet"/>
        <w:spacing w:after="40"/>
        <w:ind w:left="360"/>
      </w:pPr>
      <w:r>
        <w:rPr>
          <w:rFonts w:ascii="Calibri" w:hAnsi="Calibri"/>
          <w:sz w:val="22"/>
        </w:rPr>
        <w:t>List of enterprise systems that should connect to ServiceNow (with technical contacts)</w:t>
      </w:r>
    </w:p>
    <w:p>
      <w:pPr>
        <w:pStyle w:val="ListBullet"/>
        <w:spacing w:after="40"/>
        <w:ind w:left="360"/>
      </w:pPr>
      <w:r>
        <w:rPr>
          <w:rFonts w:ascii="Calibri" w:hAnsi="Calibri"/>
          <w:sz w:val="22"/>
        </w:rPr>
        <w:t>Existing instance details if you have a current ServiceNow environment</w:t>
      </w:r>
    </w:p>
    <w:p>
      <w:pPr>
        <w:pStyle w:val="ListBullet"/>
        <w:spacing w:after="40"/>
        <w:ind w:left="360"/>
      </w:pPr>
      <w:r>
        <w:rPr>
          <w:rFonts w:ascii="Calibri" w:hAnsi="Calibri"/>
          <w:sz w:val="22"/>
        </w:rPr>
        <w:t>IT security policies related to SSO, MFA, and API access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Platform Foundation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Platform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