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PROBLEM MANAGEMENT</w:t>
      </w:r>
    </w:p>
    <w:p>
      <w:pPr>
        <w:spacing w:before="0" w:after="40"/>
      </w:pPr>
      <w:r>
        <w:rPr>
          <w:rFonts w:ascii="Calibri" w:hAnsi="Calibri"/>
          <w:b/>
          <w:color w:val="0B1F3A"/>
          <w:sz w:val="56"/>
        </w:rPr>
        <w:t>Problem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Eliminating recurring incidents by addressing root causes systematically</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Problem Managers, IT Operations Leadership, Incident Managers, Change Managers</w:t>
      </w:r>
    </w:p>
    <w:p>
      <w:pPr>
        <w:spacing w:after="40"/>
      </w:pPr>
      <w:r>
        <w:rPr>
          <w:rFonts w:ascii="Calibri" w:hAnsi="Calibri"/>
          <w:b w:val="0"/>
          <w:i w:val="0"/>
          <w:color w:val="475569"/>
          <w:sz w:val="20"/>
        </w:rPr>
        <w:t>Companion to: Incident Management Pre-Read · Change Management Pre-Read</w:t>
      </w:r>
    </w:p>
    <w:p>
      <w:pPr>
        <w:spacing w:after="80"/>
      </w:pPr>
      <w:r>
        <w:rPr>
          <w:rFonts w:ascii="Calibri" w:hAnsi="Calibri"/>
          <w:b w:val="0"/>
          <w:i w:val="0"/>
          <w:color w:val="475569"/>
          <w:sz w:val="20"/>
        </w:rPr>
        <w:t>Document ID: CLT-WP-02d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Problem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Problem Management sits between Incident and Change: it takes the patterns that Incident Management surfaces and turns them into structured root cause investigations that ultimately drive Changes to prevent recurrence. This pre-read prepares you to define how that flow works in your ServiceNow implementation.</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Problem Management?</w:t>
      </w:r>
    </w:p>
    <w:p>
      <w:pPr>
        <w:spacing w:after="160" w:before="0"/>
      </w:pPr>
      <w:r>
        <w:rPr>
          <w:rFonts w:ascii="Calibri" w:hAnsi="Calibri"/>
          <w:color w:val="1A1A1A"/>
          <w:sz w:val="22"/>
        </w:rPr>
        <w:t>Problem Management is the process of identifying and eliminating the root causes of recurring incidents. Where Incident Management focuses on restoring service quickly, Problem Management focuses on preventing the same disruptions from happening again. The two processes are deeply linked — and a ServiceNow implementation that connects them cleanly compounds value over time.</w:t>
      </w:r>
    </w:p>
    <w:p>
      <w:pPr>
        <w:pStyle w:val="ListBullet"/>
        <w:spacing w:after="40"/>
        <w:ind w:left="360"/>
      </w:pPr>
      <w:r>
        <w:rPr>
          <w:rFonts w:ascii="Calibri" w:hAnsi="Calibri"/>
          <w:sz w:val="22"/>
        </w:rPr>
        <w:t>Problem identification — how incidents graduate to Problems (volume-based, post-MIM, or manual)</w:t>
      </w:r>
    </w:p>
    <w:p>
      <w:pPr>
        <w:pStyle w:val="ListBullet"/>
        <w:spacing w:after="40"/>
        <w:ind w:left="360"/>
      </w:pPr>
      <w:r>
        <w:rPr>
          <w:rFonts w:ascii="Calibri" w:hAnsi="Calibri"/>
          <w:sz w:val="22"/>
        </w:rPr>
        <w:t>Root cause analysis — structured investigation workflow with assignment, timeline, and workaround management</w:t>
      </w:r>
    </w:p>
    <w:p>
      <w:pPr>
        <w:pStyle w:val="ListBullet"/>
        <w:spacing w:after="40"/>
        <w:ind w:left="360"/>
      </w:pPr>
      <w:r>
        <w:rPr>
          <w:rFonts w:ascii="Calibri" w:hAnsi="Calibri"/>
          <w:sz w:val="22"/>
        </w:rPr>
        <w:t>Known Error Database (KEDB) — documented workarounds and interim solutions for recurring issues</w:t>
      </w:r>
    </w:p>
    <w:p>
      <w:pPr>
        <w:pStyle w:val="ListBullet"/>
        <w:spacing w:after="40"/>
        <w:ind w:left="360"/>
      </w:pPr>
      <w:r>
        <w:rPr>
          <w:rFonts w:ascii="Calibri" w:hAnsi="Calibri"/>
          <w:sz w:val="22"/>
        </w:rPr>
        <w:t>Problem resolution — the Change or fix that eliminates the root cause</w:t>
      </w:r>
    </w:p>
    <w:p>
      <w:pPr>
        <w:pStyle w:val="ListBullet"/>
        <w:spacing w:after="40"/>
        <w:ind w:left="360"/>
      </w:pPr>
      <w:r>
        <w:rPr>
          <w:rFonts w:ascii="Calibri" w:hAnsi="Calibri"/>
          <w:sz w:val="22"/>
        </w:rPr>
        <w:t>Problem review and closure — confirming that the fix held and the pattern is gone</w:t>
      </w:r>
    </w:p>
    <w:p>
      <w:pPr>
        <w:pStyle w:val="Heading1"/>
      </w:pPr>
      <w:r>
        <w:t>2.  Why It Matters in Your ServiceNow Journey</w:t>
      </w:r>
    </w:p>
    <w:p>
      <w:pPr>
        <w:spacing w:after="160" w:before="0"/>
      </w:pPr>
      <w:r>
        <w:rPr>
          <w:rFonts w:ascii="Calibri" w:hAnsi="Calibri"/>
          <w:color w:val="1A1A1A"/>
          <w:sz w:val="22"/>
        </w:rPr>
        <w:t>Organizations that skip Problem Management tend to run Incident Management on a treadmill — resolving the same issues repeatedly without building institutional knowledge about why they keep occurring. ServiceNow's connected architecture means that Problems, Incidents, and Changes share data — so fixing one root cause updates the incident record, the KEDB, and the Change automatically. That connection is what makes the model compound.</w:t>
      </w:r>
    </w:p>
    <w:p>
      <w:pPr>
        <w:pStyle w:val="Heading1"/>
      </w:pPr>
      <w:r>
        <w:t>3.  What ServiceNow Delivers Out of the Box</w:t>
      </w:r>
    </w:p>
    <w:p>
      <w:pPr>
        <w:spacing w:after="160" w:before="0"/>
      </w:pPr>
      <w:r>
        <w:rPr>
          <w:rFonts w:ascii="Calibri" w:hAnsi="Calibri"/>
          <w:color w:val="1A1A1A"/>
          <w:sz w:val="22"/>
        </w:rPr>
        <w:t>ServiceNow's OOTB Problem Management includes everything needed for a disciplined, connected root cause practice.</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identification from Incidents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One-click promotion from Incident to Problem, with related incident linkage and automatic problem record population</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Root Cause Analysis workspace</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Structured investigation workspace with timeline, notes, related records, and workaround management</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Known Error Database (KEDB)</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Searchable repository of known errors with documented workarounds — visible to agents and, optionally, end users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Problem task management</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Sub-tasks for investigation activities with assignment, due dates, and progress tracking</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Change linkage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Automatic association between Problem resolution and the Change record that implements the fix</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Recurrence detection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Automatic flagging when an incident pattern matches an open Problem record — prevents duplicate investigation</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Problem analytics</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metrics: open problems by age, by service, by priority; time-to-resolution; recurrence rate post-closure</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decisions that will define your Problem Management process in ServiceNow. They are worth thinking through before the workshop — particularly the criteria for what constitutes a Problem.</w:t>
      </w:r>
    </w:p>
    <w:p>
      <w:pPr>
        <w:pStyle w:val="Heading2"/>
      </w:pPr>
      <w:r>
        <w:t>Decision 1: Problem Identification Criteria</w:t>
      </w:r>
    </w:p>
    <w:p>
      <w:pPr>
        <w:spacing w:after="160" w:before="0"/>
      </w:pPr>
      <w:r>
        <w:rPr>
          <w:rFonts w:ascii="Calibri" w:hAnsi="Calibri"/>
          <w:color w:val="1A1A1A"/>
          <w:sz w:val="22"/>
        </w:rPr>
        <w:t>What triggers a Problem record? Options include: manual creation by an analyst, automatic creation when an incident volume threshold is crossed (e.g., 3+ incidents with the same cause in 30 days), or mandatory creation after every Major Incident closure. We will configure the triggers that match your operational model.</w:t>
      </w:r>
    </w:p>
    <w:p>
      <w:pPr>
        <w:spacing w:after="160" w:before="0"/>
      </w:pPr>
      <w:r>
        <w:rPr>
          <w:rFonts w:ascii="Calibri" w:hAnsi="Calibri"/>
          <w:i/>
          <w:color w:val="1A1A1A"/>
          <w:sz w:val="22"/>
        </w:rPr>
        <w:t>Trade-off to consider: Automatic thresholds ensure nothing is missed but can generate too many problems; manual creation gives analysts judgment but risks under-identification of recurring patterns.</w:t>
      </w:r>
    </w:p>
    <w:p>
      <w:pPr>
        <w:pStyle w:val="Heading2"/>
      </w:pPr>
      <w:r>
        <w:t>Decision 2: KEDB Visibility</w:t>
      </w:r>
    </w:p>
    <w:p>
      <w:pPr>
        <w:spacing w:after="160" w:before="0"/>
      </w:pPr>
      <w:r>
        <w:rPr>
          <w:rFonts w:ascii="Calibri" w:hAnsi="Calibri"/>
          <w:color w:val="1A1A1A"/>
          <w:sz w:val="22"/>
        </w:rPr>
        <w:t>Should Known Errors and their workarounds be visible only to IT agents, or also to end users through the Employee Center? The OOTB framework supports both. Broader visibility reduces repetitive contact volume; narrower visibility prevents users from self-applying complex workarounds incorrectly.</w:t>
      </w:r>
    </w:p>
    <w:p>
      <w:pPr>
        <w:spacing w:after="160" w:before="0"/>
      </w:pPr>
      <w:r>
        <w:rPr>
          <w:rFonts w:ascii="Calibri" w:hAnsi="Calibri"/>
          <w:i/>
          <w:color w:val="1A1A1A"/>
          <w:sz w:val="22"/>
        </w:rPr>
        <w:t>Trade-off to consider: User-facing KEDB reduces repeat contacts; agent-only KEDB keeps sensitive system details internal.</w:t>
      </w:r>
    </w:p>
    <w:p>
      <w:pPr>
        <w:pStyle w:val="Heading2"/>
      </w:pPr>
      <w:r>
        <w:t>Decision 3: Problem-to-Change Linkage</w:t>
      </w:r>
    </w:p>
    <w:p>
      <w:pPr>
        <w:spacing w:after="160" w:before="0"/>
      </w:pPr>
      <w:r>
        <w:rPr>
          <w:rFonts w:ascii="Calibri" w:hAnsi="Calibri"/>
          <w:color w:val="1A1A1A"/>
          <w:sz w:val="22"/>
        </w:rPr>
        <w:t>Will every Problem resolution require a Change record before closure, or will some problems be resolved through direct fixes (e.g., restoring a configuration)? The workshop will define which categories of resolution require formal Change and which can be closed with direct action.</w:t>
      </w:r>
    </w:p>
    <w:p>
      <w:pPr>
        <w:pStyle w:val="Heading1"/>
      </w:pPr>
      <w:r>
        <w:t>5.  Things to Think About Before We Meet</w:t>
      </w:r>
    </w:p>
    <w:p>
      <w:pPr>
        <w:spacing w:after="160" w:before="0"/>
      </w:pPr>
      <w:r>
        <w:rPr>
          <w:rFonts w:ascii="Calibri" w:hAnsi="Calibri"/>
          <w:color w:val="1A1A1A"/>
          <w:sz w:val="22"/>
        </w:rPr>
        <w:t>These questions will help you come to the workshop with a clear picture of your current state.</w:t>
      </w:r>
    </w:p>
    <w:p>
      <w:pPr>
        <w:pStyle w:val="ListBullet"/>
        <w:spacing w:after="40"/>
        <w:ind w:left="360"/>
      </w:pPr>
      <w:r>
        <w:rPr>
          <w:rFonts w:ascii="Calibri" w:hAnsi="Calibri"/>
          <w:sz w:val="22"/>
        </w:rPr>
        <w:t>Does your team currently use a formal Problem Management process, or is root cause investigation informal?</w:t>
      </w:r>
    </w:p>
    <w:p>
      <w:pPr>
        <w:pStyle w:val="ListBullet"/>
        <w:spacing w:after="40"/>
        <w:ind w:left="360"/>
      </w:pPr>
      <w:r>
        <w:rPr>
          <w:rFonts w:ascii="Calibri" w:hAnsi="Calibri"/>
          <w:sz w:val="22"/>
        </w:rPr>
        <w:t>Are there recurring incidents that your team is already aware of but has not formally documented as known errors?</w:t>
      </w:r>
    </w:p>
    <w:p>
      <w:pPr>
        <w:pStyle w:val="ListBullet"/>
        <w:spacing w:after="40"/>
        <w:ind w:left="360"/>
      </w:pPr>
      <w:r>
        <w:rPr>
          <w:rFonts w:ascii="Calibri" w:hAnsi="Calibri"/>
          <w:sz w:val="22"/>
        </w:rPr>
        <w:t>Who owns Problem Management — is there a dedicated Problem Manager, or is this responsibility shared across Incident teams?</w:t>
      </w:r>
    </w:p>
    <w:p>
      <w:pPr>
        <w:pStyle w:val="ListBullet"/>
        <w:spacing w:after="40"/>
        <w:ind w:left="360"/>
      </w:pPr>
      <w:r>
        <w:rPr>
          <w:rFonts w:ascii="Calibri" w:hAnsi="Calibri"/>
          <w:sz w:val="22"/>
        </w:rPr>
        <w:t>What is your current process for communicating workarounds to the service desk?</w:t>
      </w:r>
    </w:p>
    <w:p>
      <w:pPr>
        <w:pStyle w:val="ListBullet"/>
        <w:spacing w:after="40"/>
        <w:ind w:left="360"/>
      </w:pPr>
      <w:r>
        <w:rPr>
          <w:rFonts w:ascii="Calibri" w:hAnsi="Calibri"/>
          <w:sz w:val="22"/>
        </w:rPr>
        <w:t>Are there categories of recurring incidents that you would want to prioritize for Problem review first?</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List of known recurring incidents or 'repeat offenders' from your current tool</w:t>
      </w:r>
    </w:p>
    <w:p>
      <w:pPr>
        <w:pStyle w:val="ListBullet"/>
        <w:spacing w:after="40"/>
        <w:ind w:left="360"/>
      </w:pPr>
      <w:r>
        <w:rPr>
          <w:rFonts w:ascii="Calibri" w:hAnsi="Calibri"/>
          <w:sz w:val="22"/>
        </w:rPr>
        <w:t>Current root cause analysis documentation format (if one exists)</w:t>
      </w:r>
    </w:p>
    <w:p>
      <w:pPr>
        <w:pStyle w:val="ListBullet"/>
        <w:spacing w:after="40"/>
        <w:ind w:left="360"/>
      </w:pPr>
      <w:r>
        <w:rPr>
          <w:rFonts w:ascii="Calibri" w:hAnsi="Calibri"/>
          <w:sz w:val="22"/>
        </w:rPr>
        <w:t>Existing Known Error or workaround documentation, however informal</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Problem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Problem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