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CHANGE MANAGEMENT</w:t>
      </w:r>
    </w:p>
    <w:p>
      <w:pPr>
        <w:spacing w:before="0" w:after="40"/>
      </w:pPr>
      <w:r>
        <w:rPr>
          <w:rFonts w:ascii="Calibri" w:hAnsi="Calibri"/>
          <w:b/>
          <w:color w:val="0B1F3A"/>
          <w:sz w:val="56"/>
        </w:rPr>
        <w:t>Change Management</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Controlling risk while enabling the pace your business needs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Change Managers, CAB Members, IT Leadership, Release Teams, Service Owners</w:t>
      </w:r>
    </w:p>
    <w:p>
      <w:pPr>
        <w:spacing w:after="40"/>
      </w:pPr>
      <w:r>
        <w:rPr>
          <w:rFonts w:ascii="Calibri" w:hAnsi="Calibri"/>
          <w:b w:val="0"/>
          <w:i w:val="0"/>
          <w:color w:val="475569"/>
          <w:sz w:val="20"/>
        </w:rPr>
        <w:t>Companion to: Problem Management Pre-Read · CMDB Pre-Read</w:t>
      </w:r>
    </w:p>
    <w:p>
      <w:pPr>
        <w:spacing w:after="80"/>
      </w:pPr>
      <w:r>
        <w:rPr>
          <w:rFonts w:ascii="Calibri" w:hAnsi="Calibri"/>
          <w:b w:val="0"/>
          <w:i w:val="0"/>
          <w:color w:val="475569"/>
          <w:sz w:val="20"/>
        </w:rPr>
        <w:t>Document ID: CLT-WP-02e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Change Management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Change Management is one of the most opinion-intensive process areas in any ITSM implementation. Every organization has a view on what a Change is, who approves it, and how fast it should move. This pre-read helps you understand what ServiceNow delivers natively and what decisions you will need to make — so the workshop is spent on your specifics, not on foundational concepts.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Change Management?</w:t>
      </w:r>
    </w:p>
    <w:p>
      <w:pPr>
        <w:spacing w:after="160" w:before="0"/>
      </w:pPr>
      <w:r>
        <w:rPr>
          <w:rFonts w:ascii="Calibri" w:hAnsi="Calibri"/>
          <w:color w:val="1A1A1A"/>
          <w:sz w:val="22"/>
        </w:rPr>
        <w:t>Change Management is the process of controlling modifications to IT infrastructure, applications, and services — ensuring that changes are assessed, authorized, and implemented in a way that minimizes disruption to service quality. In ServiceNow, it includes the full lifecycle from request through approval, scheduling, implementation, and post-implementation review.</w:t>
      </w:r>
    </w:p>
    <w:p>
      <w:pPr>
        <w:pStyle w:val="ListBullet"/>
        <w:spacing w:after="40"/>
        <w:ind w:left="360"/>
      </w:pPr>
      <w:r>
        <w:rPr>
          <w:rFonts w:ascii="Calibri" w:hAnsi="Calibri"/>
          <w:sz w:val="22"/>
        </w:rPr>
        <w:t>Change types — Normal, Standard, Emergency: each with its own workflow and approval path</w:t>
      </w:r>
    </w:p>
    <w:p>
      <w:pPr>
        <w:pStyle w:val="ListBullet"/>
        <w:spacing w:after="40"/>
        <w:ind w:left="360"/>
      </w:pPr>
      <w:r>
        <w:rPr>
          <w:rFonts w:ascii="Calibri" w:hAnsi="Calibri"/>
          <w:sz w:val="22"/>
        </w:rPr>
        <w:t>Risk and impact assessment — automated scoring and manual override for high-complexity changes</w:t>
      </w:r>
    </w:p>
    <w:p>
      <w:pPr>
        <w:pStyle w:val="ListBullet"/>
        <w:spacing w:after="40"/>
        <w:ind w:left="360"/>
      </w:pPr>
      <w:r>
        <w:rPr>
          <w:rFonts w:ascii="Calibri" w:hAnsi="Calibri"/>
          <w:sz w:val="22"/>
        </w:rPr>
        <w:t>CAB (Change Advisory Board) workbench — structured review and approval for Normal changes</w:t>
      </w:r>
    </w:p>
    <w:p>
      <w:pPr>
        <w:pStyle w:val="ListBullet"/>
        <w:spacing w:after="40"/>
        <w:ind w:left="360"/>
      </w:pPr>
      <w:r>
        <w:rPr>
          <w:rFonts w:ascii="Calibri" w:hAnsi="Calibri"/>
          <w:sz w:val="22"/>
        </w:rPr>
        <w:t>Change scheduling — calendar view, conflict detection, and blackout window management</w:t>
      </w:r>
    </w:p>
    <w:p>
      <w:pPr>
        <w:pStyle w:val="ListBullet"/>
        <w:spacing w:after="40"/>
        <w:ind w:left="360"/>
      </w:pPr>
      <w:r>
        <w:rPr>
          <w:rFonts w:ascii="Calibri" w:hAnsi="Calibri"/>
          <w:sz w:val="22"/>
        </w:rPr>
        <w:t>Change closure and PIR — post-implementation review confirming the change achieved its goal</w:t>
      </w:r>
    </w:p>
    <w:p>
      <w:pPr>
        <w:pStyle w:val="Heading1"/>
      </w:pPr>
      <w:r>
        <w:t>2.  Why It Matters in Your ServiceNow Journey</w:t>
      </w:r>
    </w:p>
    <w:p>
      <w:pPr>
        <w:spacing w:after="160" w:before="0"/>
      </w:pPr>
      <w:r>
        <w:rPr>
          <w:rFonts w:ascii="Calibri" w:hAnsi="Calibri"/>
          <w:color w:val="1A1A1A"/>
          <w:sz w:val="22"/>
        </w:rPr>
        <w:t>Change Management is the gatekeeper between intent and production. An under-defined Change process creates the conditions for incidents — unauthorized changes, untested configurations, and production surprises. An over-defined process creates a different problem: so much friction that teams route around it, eliminating the visibility the process was designed to provide. The OOTB ServiceNow model is calibrated for the middle — enough control to protect stability, enough flexibility to enable pace.</w:t>
      </w:r>
    </w:p>
    <w:p>
      <w:pPr>
        <w:pStyle w:val="ListBullet"/>
        <w:spacing w:after="40"/>
        <w:ind w:left="360"/>
      </w:pPr>
      <w:r>
        <w:rPr>
          <w:rFonts w:ascii="Calibri" w:hAnsi="Calibri"/>
          <w:sz w:val="22"/>
        </w:rPr>
        <w:t>CMDB-linked Change records give you visibility into which CI is being changed — essential for risk assessment</w:t>
      </w:r>
    </w:p>
    <w:p>
      <w:pPr>
        <w:pStyle w:val="ListBullet"/>
        <w:spacing w:after="40"/>
        <w:ind w:left="360"/>
      </w:pPr>
      <w:r>
        <w:rPr>
          <w:rFonts w:ascii="Calibri" w:hAnsi="Calibri"/>
          <w:sz w:val="22"/>
        </w:rPr>
        <w:t>Standard Change pre-approval accelerates routine changes without bypassing governance</w:t>
      </w:r>
    </w:p>
    <w:p>
      <w:pPr>
        <w:pStyle w:val="ListBullet"/>
        <w:spacing w:after="40"/>
        <w:ind w:left="360"/>
      </w:pPr>
      <w:r>
        <w:rPr>
          <w:rFonts w:ascii="Calibri" w:hAnsi="Calibri"/>
          <w:sz w:val="22"/>
        </w:rPr>
        <w:t>Emergency Change workflow provides a documented fast path that preserves auditability</w:t>
      </w:r>
    </w:p>
    <w:p>
      <w:pPr>
        <w:pStyle w:val="Heading1"/>
      </w:pPr>
      <w:r>
        <w:t>3.  What ServiceNow Delivers Out of the Box</w:t>
      </w:r>
    </w:p>
    <w:p>
      <w:pPr>
        <w:spacing w:after="160" w:before="0"/>
      </w:pPr>
      <w:r>
        <w:rPr>
          <w:rFonts w:ascii="Calibri" w:hAnsi="Calibri"/>
          <w:color w:val="1A1A1A"/>
          <w:sz w:val="22"/>
        </w:rPr>
        <w:t>ServiceNow's OOTB Change Management is designed for organizations that need control without bureaucracy. These capabilities are available from day one.</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Three-type change model (Normal/Standard/Emergency)</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Pre-built workflows for each change type with configurable approval gates and SLA targets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Risk Assessment engine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Automated risk score based on CI criticality, change type, and historical change success — reduces subjective CAB debate</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CAB Workbench</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Digital CAB meeting management: agenda, voting, decision recording — replaces email chains and spreadsheets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Calendar &amp; conflict detection</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Visual schedule with freeze-window enforcement and automated conflict flagging</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Standard Change Catalog</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Pre-approved change templates for routine activities — reduces CAB volume for low-risk changes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for Change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AI-generated risk assessment and implementation plan suggestions based on historical change data</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analytics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dashboards: change success rate, unauthorized change rate, CAB velocity, emergency change frequency</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Change Management decisions that will be worked through in the workshop. They have implications for your CAB process, your approval hierarchy, and your relationship with downstream teams.</w:t>
      </w:r>
    </w:p>
    <w:p>
      <w:pPr>
        <w:pStyle w:val="Heading2"/>
      </w:pPr>
      <w:r>
        <w:t>Decision 1: Change Type Definitions</w:t>
      </w:r>
    </w:p>
    <w:p>
      <w:pPr>
        <w:spacing w:after="160" w:before="0"/>
      </w:pPr>
      <w:r>
        <w:rPr>
          <w:rFonts w:ascii="Calibri" w:hAnsi="Calibri"/>
          <w:color w:val="1A1A1A"/>
          <w:sz w:val="22"/>
        </w:rPr>
        <w:t>How will you define Normal, Standard, and Emergency changes for your organization? ServiceNow's OOTB definitions are a strong starting point. The workshop will map your existing change categories to this three-type model — a necessary step before configuring approval workflows.</w:t>
      </w:r>
    </w:p>
    <w:p>
      <w:pPr>
        <w:spacing w:after="160" w:before="0"/>
      </w:pPr>
      <w:r>
        <w:rPr>
          <w:rFonts w:ascii="Calibri" w:hAnsi="Calibri"/>
          <w:i/>
          <w:color w:val="1A1A1A"/>
          <w:sz w:val="22"/>
        </w:rPr>
        <w:t>Trade-off to consider: Aligning to OOTB definitions simplifies workflow and enables AI; custom definitions require ongoing maintenance and may fragment reporting.</w:t>
      </w:r>
    </w:p>
    <w:p>
      <w:pPr>
        <w:pStyle w:val="Heading2"/>
      </w:pPr>
      <w:r>
        <w:t>Decision 2: Approval Hierarchy</w:t>
      </w:r>
    </w:p>
    <w:p>
      <w:pPr>
        <w:spacing w:after="160" w:before="0"/>
      </w:pPr>
      <w:r>
        <w:rPr>
          <w:rFonts w:ascii="Calibri" w:hAnsi="Calibri"/>
          <w:color w:val="1A1A1A"/>
          <w:sz w:val="22"/>
        </w:rPr>
        <w:t>Who approves changes, at what level, and under what conditions? The workshop will design your approval matrix: which roles approve Normal changes, which require CAB, which can be auto-approved as Standard. Keeping the approval chain as simple as possible is the most common area where organizations over-engineer and then route around the process.</w:t>
      </w:r>
    </w:p>
    <w:p>
      <w:pPr>
        <w:spacing w:after="160" w:before="0"/>
      </w:pPr>
      <w:r>
        <w:rPr>
          <w:rFonts w:ascii="Calibri" w:hAnsi="Calibri"/>
          <w:i/>
          <w:color w:val="1A1A1A"/>
          <w:sz w:val="22"/>
        </w:rPr>
        <w:t>Trade-off to consider: Simple, layered approval is faster and actually followed; complex multi-level approval creates bottlenecks and encourages workarounds.</w:t>
      </w:r>
    </w:p>
    <w:p>
      <w:pPr>
        <w:pStyle w:val="Heading2"/>
      </w:pPr>
      <w:r>
        <w:t>Decision 3: Standard Change Library Scope</w:t>
      </w:r>
    </w:p>
    <w:p>
      <w:pPr>
        <w:spacing w:after="160" w:before="0"/>
      </w:pPr>
      <w:r>
        <w:rPr>
          <w:rFonts w:ascii="Calibri" w:hAnsi="Calibri"/>
          <w:color w:val="1A1A1A"/>
          <w:sz w:val="22"/>
        </w:rPr>
        <w:t>Which changes are routine enough to pre-approve as Standard Changes? Building a Standard Change library is one of the highest-leverage early investments — it reduces CAB volume and accelerates routine work without reducing governance. The workshop will identify your first 10–20 candidates.</w:t>
      </w:r>
    </w:p>
    <w:p>
      <w:pPr>
        <w:pStyle w:val="Heading2"/>
      </w:pPr>
      <w:r>
        <w:t>Decision 4: CAB Meeting Cadence</w:t>
      </w:r>
    </w:p>
    <w:p>
      <w:pPr>
        <w:spacing w:after="160" w:before="0"/>
      </w:pPr>
      <w:r>
        <w:rPr>
          <w:rFonts w:ascii="Calibri" w:hAnsi="Calibri"/>
          <w:color w:val="1A1A1A"/>
          <w:sz w:val="22"/>
        </w:rPr>
        <w:t>How frequently will your CAB meet, and for how long? The OOTB CAB Workbench supports synchronous and asynchronous review. Many organizations move to asynchronous CAB (vote via the platform, no meeting required) for routine Normal Changes, reserving live CAB for high-risk or complex items.</w:t>
      </w:r>
    </w:p>
    <w:p>
      <w:pPr>
        <w:pStyle w:val="Heading1"/>
      </w:pPr>
      <w:r>
        <w:t>5.  Things to Think About Before We Meet</w:t>
      </w:r>
    </w:p>
    <w:p>
      <w:pPr>
        <w:spacing w:after="160" w:before="0"/>
      </w:pPr>
      <w:r>
        <w:rPr>
          <w:rFonts w:ascii="Calibri" w:hAnsi="Calibri"/>
          <w:color w:val="1A1A1A"/>
          <w:sz w:val="22"/>
        </w:rPr>
        <w:t>These questions will help your team come to the workshop with a shared starting point.</w:t>
      </w:r>
    </w:p>
    <w:p>
      <w:pPr>
        <w:pStyle w:val="ListBullet"/>
        <w:spacing w:after="40"/>
        <w:ind w:left="360"/>
      </w:pPr>
      <w:r>
        <w:rPr>
          <w:rFonts w:ascii="Calibri" w:hAnsi="Calibri"/>
          <w:sz w:val="22"/>
        </w:rPr>
        <w:t>How many changes does your IT organization process per month, and what percentage are routine vs. high-risk?</w:t>
      </w:r>
    </w:p>
    <w:p>
      <w:pPr>
        <w:pStyle w:val="ListBullet"/>
        <w:spacing w:after="40"/>
        <w:ind w:left="360"/>
      </w:pPr>
      <w:r>
        <w:rPr>
          <w:rFonts w:ascii="Calibri" w:hAnsi="Calibri"/>
          <w:sz w:val="22"/>
        </w:rPr>
        <w:t>What is your current CAB structure — who attends, how often do you meet, how are decisions made?</w:t>
      </w:r>
    </w:p>
    <w:p>
      <w:pPr>
        <w:pStyle w:val="ListBullet"/>
        <w:spacing w:after="40"/>
        <w:ind w:left="360"/>
      </w:pPr>
      <w:r>
        <w:rPr>
          <w:rFonts w:ascii="Calibri" w:hAnsi="Calibri"/>
          <w:sz w:val="22"/>
        </w:rPr>
        <w:t>Do you currently have a Standard Change or pre-approved change process, even informally?</w:t>
      </w:r>
    </w:p>
    <w:p>
      <w:pPr>
        <w:pStyle w:val="ListBullet"/>
        <w:spacing w:after="40"/>
        <w:ind w:left="360"/>
      </w:pPr>
      <w:r>
        <w:rPr>
          <w:rFonts w:ascii="Calibri" w:hAnsi="Calibri"/>
          <w:sz w:val="22"/>
        </w:rPr>
        <w:t>What are your most common change failure or rollback scenarios?</w:t>
      </w:r>
    </w:p>
    <w:p>
      <w:pPr>
        <w:pStyle w:val="ListBullet"/>
        <w:spacing w:after="40"/>
        <w:ind w:left="360"/>
      </w:pPr>
      <w:r>
        <w:rPr>
          <w:rFonts w:ascii="Calibri" w:hAnsi="Calibri"/>
          <w:sz w:val="22"/>
        </w:rPr>
        <w:t>Are there blackout windows (freezes) that need to be encoded in the ServiceNow calendar?</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Current change type definitions or change policy documentation</w:t>
      </w:r>
    </w:p>
    <w:p>
      <w:pPr>
        <w:pStyle w:val="ListBullet"/>
        <w:spacing w:after="40"/>
        <w:ind w:left="360"/>
      </w:pPr>
      <w:r>
        <w:rPr>
          <w:rFonts w:ascii="Calibri" w:hAnsi="Calibri"/>
          <w:sz w:val="22"/>
        </w:rPr>
        <w:t>CAB membership list and meeting cadence</w:t>
      </w:r>
    </w:p>
    <w:p>
      <w:pPr>
        <w:pStyle w:val="ListBullet"/>
        <w:spacing w:after="40"/>
        <w:ind w:left="360"/>
      </w:pPr>
      <w:r>
        <w:rPr>
          <w:rFonts w:ascii="Calibri" w:hAnsi="Calibri"/>
          <w:sz w:val="22"/>
        </w:rPr>
        <w:t>Existing Standard Change or pre-approved change list (however informal)</w:t>
      </w:r>
    </w:p>
    <w:p>
      <w:pPr>
        <w:pStyle w:val="ListBullet"/>
        <w:spacing w:after="40"/>
        <w:ind w:left="360"/>
      </w:pPr>
      <w:r>
        <w:rPr>
          <w:rFonts w:ascii="Calibri" w:hAnsi="Calibri"/>
          <w:sz w:val="22"/>
        </w:rPr>
        <w:t>Change calendar with existing blackout windows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Change Management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Change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