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WORKSHOP PRE-READ  ·  PREDICTIVE INTELLIGENCE</w:t>
      </w:r>
    </w:p>
    <w:p>
      <w:pPr>
        <w:spacing w:before="0" w:after="40"/>
      </w:pPr>
      <w:r>
        <w:rPr>
          <w:rFonts w:ascii="Calibri" w:hAnsi="Calibri"/>
          <w:b/>
          <w:color w:val="0B1F3A"/>
          <w:sz w:val="56"/>
        </w:rPr>
        <w:t>Predictive Intelligence</w:t>
      </w:r>
    </w:p>
    <w:p>
      <w:pPr>
        <w:spacing w:before="0" w:after="40"/>
      </w:pPr>
      <w:r>
        <w:rPr>
          <w:rFonts w:ascii="Calibri" w:hAnsi="Calibri"/>
          <w:b/>
          <w:color w:val="0B1F3A"/>
          <w:sz w:val="56"/>
        </w:rPr>
        <w:t>Workshop Pre-Read</w:t>
      </w:r>
    </w:p>
    <w:p>
      <w:pPr>
        <w:spacing w:before="120" w:after="400"/>
      </w:pPr>
      <w:r>
        <w:rPr>
          <w:rFonts w:ascii="Calibri" w:hAnsi="Calibri"/>
          <w:i/>
          <w:color w:val="0D9488"/>
          <w:sz w:val="24"/>
        </w:rPr>
        <w:t>Using machine learning to route, categorize, and prioritize without manual effort</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IT Leadership, Incident Managers, Service Desk Leadership, Data and Analytics Owners</w:t>
      </w:r>
    </w:p>
    <w:p>
      <w:pPr>
        <w:spacing w:after="40"/>
      </w:pPr>
      <w:r>
        <w:rPr>
          <w:rFonts w:ascii="Calibri" w:hAnsi="Calibri"/>
          <w:b w:val="0"/>
          <w:i w:val="0"/>
          <w:color w:val="475569"/>
          <w:sz w:val="20"/>
        </w:rPr>
        <w:t>Companion to: Incident Management Pre-Read · Now Assist/GenAI Pre-Read</w:t>
      </w:r>
    </w:p>
    <w:p>
      <w:pPr>
        <w:spacing w:after="80"/>
      </w:pPr>
      <w:r>
        <w:rPr>
          <w:rFonts w:ascii="Calibri" w:hAnsi="Calibri"/>
          <w:b w:val="0"/>
          <w:i w:val="0"/>
          <w:color w:val="475569"/>
          <w:sz w:val="20"/>
        </w:rPr>
        <w:t>Document ID: CLT-WP-02j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Document</w:t>
      </w:r>
    </w:p>
    <w:p>
      <w:pPr>
        <w:spacing w:after="160" w:before="0"/>
      </w:pPr>
      <w:r>
        <w:rPr>
          <w:rFonts w:ascii="Calibri" w:hAnsi="Calibri"/>
          <w:color w:val="1A1A1A"/>
          <w:sz w:val="22"/>
        </w:rPr>
        <w:t>This document is your preparation guide for the Predictive Intelligence workshop. It is designed to be read in 15–20 minutes before we meet, so that our time together is spent on your specifics rather than foundational concepts.</w:t>
      </w:r>
    </w:p>
    <w:p>
      <w:pPr>
        <w:spacing w:after="160" w:before="0"/>
      </w:pPr>
      <w:r>
        <w:rPr>
          <w:rFonts w:ascii="Calibri" w:hAnsi="Calibri"/>
          <w:color w:val="1A1A1A"/>
          <w:sz w:val="22"/>
        </w:rPr>
        <w:t>Predictive Intelligence (PI) is the ML layer that learns from your historical ServiceNow data and applies that learning to incoming records — suggesting categories, assignment groups, and priorities automatically. Its effectiveness depends almost entirely on the quality and consistency of the data it is trained on. This pre-read helps you understand what PI requires and what decisions you will make in the workshop.</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 are the decision-maker. Our role is to frame the choices, share what we have seen in comparable engagements, and partner with you to implement the approach that fits your organization. Every section below is written with that dynamic in mind.</w:t>
      </w:r>
    </w:p>
    <w:p>
      <w:pPr>
        <w:pStyle w:val="Heading1"/>
      </w:pPr>
      <w:r>
        <w:t>1.  What Is Predictive Intelligence?</w:t>
      </w:r>
    </w:p>
    <w:p>
      <w:pPr>
        <w:spacing w:after="160" w:before="0"/>
      </w:pPr>
      <w:r>
        <w:rPr>
          <w:rFonts w:ascii="Calibri" w:hAnsi="Calibri"/>
          <w:color w:val="1A1A1A"/>
          <w:sz w:val="22"/>
        </w:rPr>
        <w:t>Predictive Intelligence is ServiceNow's built-in machine learning capability. It analyzes patterns in your historical incident, request, and change records and uses those patterns to make predictions on new records — before a human has to touch them. The most common use cases are category prediction and assignment group prediction for incoming incidents.</w:t>
      </w:r>
    </w:p>
    <w:p>
      <w:pPr>
        <w:pStyle w:val="ListBullet"/>
        <w:spacing w:after="40"/>
        <w:ind w:left="360"/>
      </w:pPr>
      <w:r>
        <w:rPr>
          <w:rFonts w:ascii="Calibri" w:hAnsi="Calibri"/>
          <w:sz w:val="22"/>
        </w:rPr>
        <w:t>Category prediction — PI suggests the category and subcategory for a new incident based on the description</w:t>
      </w:r>
    </w:p>
    <w:p>
      <w:pPr>
        <w:pStyle w:val="ListBullet"/>
        <w:spacing w:after="40"/>
        <w:ind w:left="360"/>
      </w:pPr>
      <w:r>
        <w:rPr>
          <w:rFonts w:ascii="Calibri" w:hAnsi="Calibri"/>
          <w:sz w:val="22"/>
        </w:rPr>
        <w:t>Assignment group prediction — PI suggests the correct resolver group based on category, CI, and description</w:t>
      </w:r>
    </w:p>
    <w:p>
      <w:pPr>
        <w:pStyle w:val="ListBullet"/>
        <w:spacing w:after="40"/>
        <w:ind w:left="360"/>
      </w:pPr>
      <w:r>
        <w:rPr>
          <w:rFonts w:ascii="Calibri" w:hAnsi="Calibri"/>
          <w:sz w:val="22"/>
        </w:rPr>
        <w:t>Priority prediction — PI suggests urgency/impact based on the requester, CI, and historical patterns</w:t>
      </w:r>
    </w:p>
    <w:p>
      <w:pPr>
        <w:pStyle w:val="ListBullet"/>
        <w:spacing w:after="40"/>
        <w:ind w:left="360"/>
      </w:pPr>
      <w:r>
        <w:rPr>
          <w:rFonts w:ascii="Calibri" w:hAnsi="Calibri"/>
          <w:sz w:val="22"/>
        </w:rPr>
        <w:t>Similarity detection — PI identifies incidents similar to open ones, enabling clustering and deduplication</w:t>
      </w:r>
    </w:p>
    <w:p>
      <w:pPr>
        <w:pStyle w:val="ListBullet"/>
        <w:spacing w:after="40"/>
        <w:ind w:left="360"/>
      </w:pPr>
      <w:r>
        <w:rPr>
          <w:rFonts w:ascii="Calibri" w:hAnsi="Calibri"/>
          <w:sz w:val="22"/>
        </w:rPr>
        <w:t>Continuous learning — PI models improve as more data is generated and corrected by agents</w:t>
      </w:r>
    </w:p>
    <w:p>
      <w:pPr>
        <w:pStyle w:val="Heading1"/>
      </w:pPr>
      <w:r>
        <w:t>2.  Why It Matters in Your ServiceNow Journey</w:t>
      </w:r>
    </w:p>
    <w:p>
      <w:pPr>
        <w:spacing w:after="160" w:before="0"/>
      </w:pPr>
      <w:r>
        <w:rPr>
          <w:rFonts w:ascii="Calibri" w:hAnsi="Calibri"/>
          <w:color w:val="1A1A1A"/>
          <w:sz w:val="22"/>
        </w:rPr>
        <w:t>Every minute a ticket spends with the wrong category or in the wrong queue is latency in your service delivery. PI eliminates that latency — not by being perfect, but by being right often enough to accelerate the queue. More importantly, PI requires clean, consistent historical data to train on. That means Incident Management data quality is not just an operational concern — it is an AI prerequisite.</w:t>
      </w:r>
    </w:p>
    <w:p>
      <w:pPr>
        <w:pStyle w:val="ListBullet"/>
        <w:spacing w:after="40"/>
        <w:ind w:left="360"/>
      </w:pPr>
      <w:r>
        <w:rPr>
          <w:rFonts w:ascii="Calibri" w:hAnsi="Calibri"/>
          <w:sz w:val="22"/>
        </w:rPr>
        <w:t>Miscategorized tickets that would previously sit in a queue for hours are rerouted in seconds by PI</w:t>
      </w:r>
    </w:p>
    <w:p>
      <w:pPr>
        <w:pStyle w:val="ListBullet"/>
        <w:spacing w:after="40"/>
        <w:ind w:left="360"/>
      </w:pPr>
      <w:r>
        <w:rPr>
          <w:rFonts w:ascii="Calibri" w:hAnsi="Calibri"/>
          <w:sz w:val="22"/>
        </w:rPr>
        <w:t>Assignment accuracy improvements reduce inter-team handoffs — a major source of MTTR latency</w:t>
      </w:r>
    </w:p>
    <w:p>
      <w:pPr>
        <w:pStyle w:val="ListBullet"/>
        <w:spacing w:after="40"/>
        <w:ind w:left="360"/>
      </w:pPr>
      <w:r>
        <w:rPr>
          <w:rFonts w:ascii="Calibri" w:hAnsi="Calibri"/>
          <w:sz w:val="22"/>
        </w:rPr>
        <w:t>PI trains on your data — improving categorization discipline now compounds into better predictions later</w:t>
      </w:r>
    </w:p>
    <w:p>
      <w:pPr>
        <w:pStyle w:val="Heading1"/>
      </w:pPr>
      <w:r>
        <w:t>3.  What ServiceNow Delivers Out of the Box</w:t>
      </w:r>
    </w:p>
    <w:p>
      <w:pPr>
        <w:spacing w:after="160" w:before="0"/>
      </w:pPr>
      <w:r>
        <w:rPr>
          <w:rFonts w:ascii="Calibri" w:hAnsi="Calibri"/>
          <w:color w:val="1A1A1A"/>
          <w:sz w:val="22"/>
        </w:rPr>
        <w:t>ServiceNow's OOTB Predictive Intelligence framework provides ML infrastructure, training pipelines, and prediction application — without requiring a data science team.</w:t>
      </w:r>
    </w:p>
    <w:tbl>
      <w:tblPr>
        <w:tblW w:type="auto" w:w="0"/>
        <w:jc w:val="left"/>
        <w:tblLook w:firstColumn="1" w:firstRow="1" w:lastColumn="0" w:lastRow="0" w:noHBand="0" w:noVBand="1" w:val="04A0"/>
      </w:tblPr>
      <w:tblGrid>
        <w:gridCol w:w="4680"/>
        <w:gridCol w:w="4680"/>
      </w:tblGrid>
      <w:tr>
        <w:trPr>
          <w:tblHeader/>
        </w:trPr>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829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 for Your Team</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Clustering solutions</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Groups similar incidents together — identifies patterns and candidates for Problem Management or Known Errors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Classification solutions</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Predicts field values (category, subcategory, assignment group, priority) for incoming records</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Training pipeline</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Automated model training against historical data — configurable training schedule and data window</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Prediction confidence threshold</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Configurable confidence level — predictions below threshold are not applied, reducing false positives</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Agent feedback loop</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Agents confirm or correct PI predictions — corrections improve the model over time</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PI analytics</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Model performance dashboard: prediction accuracy by field, confidence distribution, agent correction rate</w:t>
            </w:r>
          </w:p>
        </w:tc>
      </w:tr>
    </w:tbl>
    <w:p>
      <w:pPr>
        <w:spacing w:after="40"/>
      </w:pPr>
    </w:p>
    <w:p>
      <w:r>
        <w:br w:type="page"/>
      </w:r>
    </w:p>
    <w:p>
      <w:pPr>
        <w:pStyle w:val="Heading1"/>
      </w:pPr>
      <w:r>
        <w:t>4.  The Key Decisions You Will Make in Our Workshop</w:t>
      </w:r>
    </w:p>
    <w:p>
      <w:pPr>
        <w:spacing w:after="160" w:before="0"/>
      </w:pPr>
      <w:r>
        <w:rPr>
          <w:rFonts w:ascii="Calibri" w:hAnsi="Calibri"/>
          <w:color w:val="1A1A1A"/>
          <w:sz w:val="22"/>
        </w:rPr>
        <w:t>These decisions shape how Predictive Intelligence is deployed and governed in your environment.</w:t>
      </w:r>
    </w:p>
    <w:p>
      <w:pPr>
        <w:pStyle w:val="Heading2"/>
      </w:pPr>
      <w:r>
        <w:t>Decision 1: Initial PI Use Cases</w:t>
      </w:r>
    </w:p>
    <w:p>
      <w:pPr>
        <w:spacing w:after="160" w:before="0"/>
      </w:pPr>
      <w:r>
        <w:rPr>
          <w:rFonts w:ascii="Calibri" w:hAnsi="Calibri"/>
          <w:color w:val="1A1A1A"/>
          <w:sz w:val="22"/>
        </w:rPr>
        <w:t>Which fields will PI predict at go-live? The recommendation is to start with category and assignment group for Incident — the highest-volume, highest-impact use case. Expand to Request and Change after the Incident model is validated.</w:t>
      </w:r>
    </w:p>
    <w:p>
      <w:pPr>
        <w:pStyle w:val="Heading2"/>
      </w:pPr>
      <w:r>
        <w:t>Decision 2: Training Data Quality Assessment</w:t>
      </w:r>
    </w:p>
    <w:p>
      <w:pPr>
        <w:spacing w:after="160" w:before="0"/>
      </w:pPr>
      <w:r>
        <w:rPr>
          <w:rFonts w:ascii="Calibri" w:hAnsi="Calibri"/>
          <w:color w:val="1A1A1A"/>
          <w:sz w:val="22"/>
        </w:rPr>
        <w:t>Is your historical incident data clean enough to train a PI model? The workshop will assess your data quality — specifically: categorization consistency, assignment group accuracy, and volume (minimum 1,000–2,000 records per category for meaningful training). We will identify gaps and a remediation approach if needed.</w:t>
      </w:r>
    </w:p>
    <w:p>
      <w:pPr>
        <w:spacing w:after="160" w:before="0"/>
      </w:pPr>
      <w:r>
        <w:rPr>
          <w:rFonts w:ascii="Calibri" w:hAnsi="Calibri"/>
          <w:i/>
          <w:color w:val="1A1A1A"/>
          <w:sz w:val="22"/>
        </w:rPr>
        <w:t>Trade-off to consider: Starting with clean data produces accurate models; starting with inconsistent data produces unreliable predictions that agents learn to ignore.</w:t>
      </w:r>
    </w:p>
    <w:p>
      <w:pPr>
        <w:pStyle w:val="Heading2"/>
      </w:pPr>
      <w:r>
        <w:t>Decision 3: Confidence Threshold and Override Design</w:t>
      </w:r>
    </w:p>
    <w:p>
      <w:pPr>
        <w:spacing w:after="160" w:before="0"/>
      </w:pPr>
      <w:r>
        <w:rPr>
          <w:rFonts w:ascii="Calibri" w:hAnsi="Calibri"/>
          <w:color w:val="1A1A1A"/>
          <w:sz w:val="22"/>
        </w:rPr>
        <w:t>What confidence level is required before PI applies a prediction automatically vs. suggests it for agent review? Higher thresholds mean fewer auto-applications but higher accuracy. The workshop will calibrate based on your volume and tolerance for prediction errors.</w:t>
      </w:r>
    </w:p>
    <w:p>
      <w:pPr>
        <w:pStyle w:val="Heading1"/>
      </w:pPr>
      <w:r>
        <w:t>5.  Things to Think About Before We Meet</w:t>
      </w:r>
    </w:p>
    <w:p>
      <w:pPr>
        <w:spacing w:after="160" w:before="0"/>
      </w:pPr>
      <w:r>
        <w:rPr>
          <w:rFonts w:ascii="Calibri" w:hAnsi="Calibri"/>
          <w:color w:val="1A1A1A"/>
          <w:sz w:val="22"/>
        </w:rPr>
        <w:t>These questions will help your team assess PI readiness before the workshop.</w:t>
      </w:r>
    </w:p>
    <w:p>
      <w:pPr>
        <w:pStyle w:val="ListBullet"/>
        <w:spacing w:after="40"/>
        <w:ind w:left="360"/>
      </w:pPr>
      <w:r>
        <w:rPr>
          <w:rFonts w:ascii="Calibri" w:hAnsi="Calibri"/>
          <w:sz w:val="22"/>
        </w:rPr>
        <w:t>How consistent is your current incident categorization? Do agents categorize tickets differently for the same type of issue?</w:t>
      </w:r>
    </w:p>
    <w:p>
      <w:pPr>
        <w:pStyle w:val="ListBullet"/>
        <w:spacing w:after="40"/>
        <w:ind w:left="360"/>
      </w:pPr>
      <w:r>
        <w:rPr>
          <w:rFonts w:ascii="Calibri" w:hAnsi="Calibri"/>
          <w:sz w:val="22"/>
        </w:rPr>
        <w:t>How many incidents does your environment process per month? Per year?</w:t>
      </w:r>
    </w:p>
    <w:p>
      <w:pPr>
        <w:pStyle w:val="ListBullet"/>
        <w:spacing w:after="40"/>
        <w:ind w:left="360"/>
      </w:pPr>
      <w:r>
        <w:rPr>
          <w:rFonts w:ascii="Calibri" w:hAnsi="Calibri"/>
          <w:sz w:val="22"/>
        </w:rPr>
        <w:t>What percentage of incidents are miscategorized or reassigned after initial assignment?</w:t>
      </w:r>
    </w:p>
    <w:p>
      <w:pPr>
        <w:pStyle w:val="ListBullet"/>
        <w:spacing w:after="40"/>
        <w:ind w:left="360"/>
      </w:pPr>
      <w:r>
        <w:rPr>
          <w:rFonts w:ascii="Calibri" w:hAnsi="Calibri"/>
          <w:sz w:val="22"/>
        </w:rPr>
        <w:t>Do you have at least 12 months of historical incident data in your current tool?</w:t>
      </w:r>
    </w:p>
    <w:p>
      <w:pPr>
        <w:pStyle w:val="ListBullet"/>
        <w:spacing w:after="40"/>
        <w:ind w:left="360"/>
      </w:pPr>
      <w:r>
        <w:rPr>
          <w:rFonts w:ascii="Calibri" w:hAnsi="Calibri"/>
          <w:sz w:val="22"/>
        </w:rPr>
        <w:t>Who would own the Predictive Intelligence model governance — monitoring performance and triggering retraining?</w:t>
      </w:r>
    </w:p>
    <w:p>
      <w:pPr>
        <w:spacing w:after="160" w:before="0"/>
      </w:pPr>
      <w:r>
        <w:rPr>
          <w:rFonts w:ascii="Calibri" w:hAnsi="Calibri"/>
          <w:color w:val="1A1A1A"/>
          <w:sz w:val="22"/>
        </w:rPr>
        <w:t>You do not need answers to all of these before the workshop. They are prompts for reflection, not prerequisites. Bring what you have. The workshop is where we work through the rest together.</w:t>
      </w:r>
    </w:p>
    <w:p>
      <w:pPr>
        <w:pStyle w:val="Heading2"/>
      </w:pPr>
      <w:r>
        <w:t>What to Bring to the Workshop</w:t>
      </w:r>
    </w:p>
    <w:p>
      <w:pPr>
        <w:pStyle w:val="ListBullet"/>
        <w:spacing w:after="40"/>
        <w:ind w:left="360"/>
      </w:pPr>
      <w:r>
        <w:rPr>
          <w:rFonts w:ascii="Calibri" w:hAnsi="Calibri"/>
          <w:sz w:val="22"/>
        </w:rPr>
        <w:t>Incident volume by month (last 12–24 months)</w:t>
      </w:r>
    </w:p>
    <w:p>
      <w:pPr>
        <w:pStyle w:val="ListBullet"/>
        <w:spacing w:after="40"/>
        <w:ind w:left="360"/>
      </w:pPr>
      <w:r>
        <w:rPr>
          <w:rFonts w:ascii="Calibri" w:hAnsi="Calibri"/>
          <w:sz w:val="22"/>
        </w:rPr>
        <w:t>Category and assignment group distribution from current tool</w:t>
      </w:r>
    </w:p>
    <w:p>
      <w:pPr>
        <w:pStyle w:val="ListBullet"/>
        <w:spacing w:after="40"/>
        <w:ind w:left="360"/>
      </w:pPr>
      <w:r>
        <w:rPr>
          <w:rFonts w:ascii="Calibri" w:hAnsi="Calibri"/>
          <w:sz w:val="22"/>
        </w:rPr>
        <w:t>Reassignment rate data if available</w:t>
      </w:r>
    </w:p>
    <w:p>
      <w:pPr>
        <w:pStyle w:val="ListBullet"/>
        <w:spacing w:after="40"/>
        <w:ind w:left="360"/>
      </w:pPr>
      <w:r>
        <w:rPr>
          <w:rFonts w:ascii="Calibri" w:hAnsi="Calibri"/>
          <w:sz w:val="22"/>
        </w:rPr>
        <w:t>Data export or sample from current tool for quality assessment</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Your ECS team will follow up with a short agenda before the Predictive Intelligence workshop. If you have questions after reading this document, reach out to your ECS engagement manager — we are happy to walk through any section in advance.</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Workshop Pre-Read  ·  Predictive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