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WORKSHOP PRE-READ  ·  CSDM</w:t>
      </w:r>
    </w:p>
    <w:p>
      <w:pPr>
        <w:spacing w:before="0" w:after="40"/>
      </w:pPr>
      <w:r>
        <w:rPr>
          <w:rFonts w:ascii="Calibri" w:hAnsi="Calibri"/>
          <w:b/>
          <w:color w:val="0B1F3A"/>
          <w:sz w:val="56"/>
        </w:rPr>
        <w:t>Common Service Data Model</w:t>
      </w:r>
    </w:p>
    <w:p>
      <w:pPr>
        <w:spacing w:before="0" w:after="40"/>
      </w:pPr>
      <w:r>
        <w:rPr>
          <w:rFonts w:ascii="Calibri" w:hAnsi="Calibri"/>
          <w:b/>
          <w:color w:val="0B1F3A"/>
          <w:sz w:val="56"/>
        </w:rPr>
        <w:t>(CSDM) Workshop Pre-Read</w:t>
      </w:r>
    </w:p>
    <w:p>
      <w:pPr>
        <w:spacing w:before="120" w:after="400"/>
      </w:pPr>
      <w:r>
        <w:rPr>
          <w:rFonts w:ascii="Calibri" w:hAnsi="Calibri"/>
          <w:i/>
          <w:color w:val="0D9488"/>
          <w:sz w:val="24"/>
        </w:rPr>
        <w:t>Building the service taxonomy that connects your IT capabilities to business outcomes</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IT Leadership, Service Architects, CMDB Owners, Process Owners, Business Relationship Managers</w:t>
      </w:r>
    </w:p>
    <w:p>
      <w:pPr>
        <w:spacing w:after="40"/>
      </w:pPr>
      <w:r>
        <w:rPr>
          <w:rFonts w:ascii="Calibri" w:hAnsi="Calibri"/>
          <w:b w:val="0"/>
          <w:i w:val="0"/>
          <w:color w:val="475569"/>
          <w:sz w:val="20"/>
        </w:rPr>
        <w:t>Companion to: CMDB Pre-Read · Discovery Pre-Read · Change Management Pre-Read</w:t>
      </w:r>
    </w:p>
    <w:p>
      <w:pPr>
        <w:spacing w:after="80"/>
      </w:pPr>
      <w:r>
        <w:rPr>
          <w:rFonts w:ascii="Calibri" w:hAnsi="Calibri"/>
          <w:b w:val="0"/>
          <w:i w:val="0"/>
          <w:color w:val="475569"/>
          <w:sz w:val="20"/>
        </w:rPr>
        <w:t>Document ID: CLT-WP-02l     ·     Version: 1.0     ·     Status: Released</w:t>
      </w:r>
    </w:p>
    <w:p>
      <w:pPr>
        <w:spacing w:after="280"/>
      </w:pPr>
      <w:r>
        <w:rPr>
          <w:rFonts w:ascii="Calibri" w:hAnsi="Calibri"/>
          <w:b w:val="0"/>
          <w:i/>
          <w:color w:val="475569"/>
          <w:sz w:val="20"/>
        </w:rPr>
        <w:t>Confidential — prepared for the recipient and their organization</w:t>
      </w:r>
    </w:p>
    <w:p>
      <w:r>
        <w:br w:type="page"/>
      </w:r>
    </w:p>
    <w:p>
      <w:pPr>
        <w:pStyle w:val="Heading1"/>
      </w:pPr>
      <w:r>
        <w:t>How to Use This Document</w:t>
      </w:r>
    </w:p>
    <w:p>
      <w:pPr>
        <w:spacing w:after="160" w:before="0"/>
      </w:pPr>
      <w:r>
        <w:rPr>
          <w:rFonts w:ascii="Calibri" w:hAnsi="Calibri"/>
          <w:color w:val="1A1A1A"/>
          <w:sz w:val="22"/>
        </w:rPr>
        <w:t>This document is your preparation guide for the CSDM workshop. It is designed to be read in 15–20 minutes before we meet, so that our time together is spent on your specifics rather than foundational concepts.</w:t>
      </w:r>
    </w:p>
    <w:p>
      <w:pPr>
        <w:spacing w:after="160" w:before="0"/>
      </w:pPr>
      <w:r>
        <w:rPr>
          <w:rFonts w:ascii="Calibri" w:hAnsi="Calibri"/>
          <w:color w:val="1A1A1A"/>
          <w:sz w:val="22"/>
        </w:rPr>
        <w:t>CSDM is one of the more conceptual workshops in the engagement — it is about defining the language and structure that connects IT assets (servers, applications, devices) to the business services they support. Getting this structure right unlocks value across Incident, Change, CMDB, Service Graph, and AI capabilities. This pre-read gives you the conceptual foundation before the workshop.</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You are the decision-maker. Our role is to frame the choices, share what we have seen in comparable engagements, and partner with you to implement the approach that fits your organization. Every section below is written with that dynamic in mind.</w:t>
      </w:r>
    </w:p>
    <w:p>
      <w:pPr>
        <w:pStyle w:val="Heading1"/>
      </w:pPr>
      <w:r>
        <w:t>1.  What Is CSDM?</w:t>
      </w:r>
    </w:p>
    <w:p>
      <w:pPr>
        <w:spacing w:after="160" w:before="0"/>
      </w:pPr>
      <w:r>
        <w:rPr>
          <w:rFonts w:ascii="Calibri" w:hAnsi="Calibri"/>
          <w:color w:val="1A1A1A"/>
          <w:sz w:val="22"/>
        </w:rPr>
        <w:t>The Common Service Data Model (CSDM) is ServiceNow's framework for structuring how IT services, applications, and technical components relate to each other and to the business outcomes they support. It defines a set of standard tables, relationships, and classification levels — from raw infrastructure (servers, databases) up through technical services, business applications, and business services.</w:t>
      </w:r>
    </w:p>
    <w:p>
      <w:pPr>
        <w:pStyle w:val="ListBullet"/>
        <w:spacing w:after="40"/>
        <w:ind w:left="360"/>
      </w:pPr>
      <w:r>
        <w:rPr>
          <w:rFonts w:ascii="Calibri" w:hAnsi="Calibri"/>
          <w:sz w:val="22"/>
        </w:rPr>
        <w:t>Business Services — the IT-delivered capabilities that the business cares about (e.g., 'Payroll Processing', 'Email')</w:t>
      </w:r>
    </w:p>
    <w:p>
      <w:pPr>
        <w:pStyle w:val="ListBullet"/>
        <w:spacing w:after="40"/>
        <w:ind w:left="360"/>
      </w:pPr>
      <w:r>
        <w:rPr>
          <w:rFonts w:ascii="Calibri" w:hAnsi="Calibri"/>
          <w:sz w:val="22"/>
        </w:rPr>
        <w:t>Business Applications — the software applications that deliver business services</w:t>
      </w:r>
    </w:p>
    <w:p>
      <w:pPr>
        <w:pStyle w:val="ListBullet"/>
        <w:spacing w:after="40"/>
        <w:ind w:left="360"/>
      </w:pPr>
      <w:r>
        <w:rPr>
          <w:rFonts w:ascii="Calibri" w:hAnsi="Calibri"/>
          <w:sz w:val="22"/>
        </w:rPr>
        <w:t>Technical Services — the technical building blocks that support applications</w:t>
      </w:r>
    </w:p>
    <w:p>
      <w:pPr>
        <w:pStyle w:val="ListBullet"/>
        <w:spacing w:after="40"/>
        <w:ind w:left="360"/>
      </w:pPr>
      <w:r>
        <w:rPr>
          <w:rFonts w:ascii="Calibri" w:hAnsi="Calibri"/>
          <w:sz w:val="22"/>
        </w:rPr>
        <w:t>CIs (Configuration Items) — the individual infrastructure components (servers, databases, network devices)</w:t>
      </w:r>
    </w:p>
    <w:p>
      <w:pPr>
        <w:pStyle w:val="ListBullet"/>
        <w:spacing w:after="40"/>
        <w:ind w:left="360"/>
      </w:pPr>
      <w:r>
        <w:rPr>
          <w:rFonts w:ascii="Calibri" w:hAnsi="Calibri"/>
          <w:sz w:val="22"/>
        </w:rPr>
        <w:t>Service relationships — the parent-child hierarchy that connects CIs to services to business outcomes</w:t>
      </w:r>
    </w:p>
    <w:p>
      <w:pPr>
        <w:pStyle w:val="Heading1"/>
      </w:pPr>
      <w:r>
        <w:t>2.  Why It Matters in Your ServiceNow Journey</w:t>
      </w:r>
    </w:p>
    <w:p>
      <w:pPr>
        <w:spacing w:after="160" w:before="0"/>
      </w:pPr>
      <w:r>
        <w:rPr>
          <w:rFonts w:ascii="Calibri" w:hAnsi="Calibri"/>
          <w:color w:val="1A1A1A"/>
          <w:sz w:val="22"/>
        </w:rPr>
        <w:t>Without CSDM, your ServiceNow data is a collection of disconnected records — incidents that reference systems by name, changes that don't know which business service they affect, a CMDB full of CIs with no context for why they matter. CSDM provides the connective tissue. With it, an incident automatically shows which business service is affected, a Change's risk score reflects the criticality of the service it touches, and AI capabilities understand the business context of a technical event.</w:t>
      </w:r>
    </w:p>
    <w:p>
      <w:pPr>
        <w:pStyle w:val="ListBullet"/>
        <w:spacing w:after="40"/>
        <w:ind w:left="360"/>
      </w:pPr>
      <w:r>
        <w:rPr>
          <w:rFonts w:ascii="Calibri" w:hAnsi="Calibri"/>
          <w:sz w:val="22"/>
        </w:rPr>
        <w:t>Business service mapping enables automated impact assessment for incidents and changes</w:t>
      </w:r>
    </w:p>
    <w:p>
      <w:pPr>
        <w:pStyle w:val="ListBullet"/>
        <w:spacing w:after="40"/>
        <w:ind w:left="360"/>
      </w:pPr>
      <w:r>
        <w:rPr>
          <w:rFonts w:ascii="Calibri" w:hAnsi="Calibri"/>
          <w:sz w:val="22"/>
        </w:rPr>
        <w:t>Service hierarchy data is the prerequisite for Service Graph Connectors to produce useful maps</w:t>
      </w:r>
    </w:p>
    <w:p>
      <w:pPr>
        <w:pStyle w:val="ListBullet"/>
        <w:spacing w:after="40"/>
        <w:ind w:left="360"/>
      </w:pPr>
      <w:r>
        <w:rPr>
          <w:rFonts w:ascii="Calibri" w:hAnsi="Calibri"/>
          <w:sz w:val="22"/>
        </w:rPr>
        <w:t>CSDM provides the business context that makes AI recommendations meaningful, not just technically accurate</w:t>
      </w:r>
    </w:p>
    <w:p>
      <w:pPr>
        <w:pStyle w:val="Heading1"/>
      </w:pPr>
      <w:r>
        <w:t>3.  What ServiceNow Delivers Out of the Box</w:t>
      </w:r>
    </w:p>
    <w:p>
      <w:pPr>
        <w:spacing w:after="160" w:before="0"/>
      </w:pPr>
      <w:r>
        <w:rPr>
          <w:rFonts w:ascii="Calibri" w:hAnsi="Calibri"/>
          <w:color w:val="1A1A1A"/>
          <w:sz w:val="22"/>
        </w:rPr>
        <w:t>ServiceNow's OOTB CSDM framework provides a ready-to-use data model, guided setup tools, and a maturity assessment to help you adopt the model at the right pace.</w:t>
      </w:r>
    </w:p>
    <w:tbl>
      <w:tblPr>
        <w:tblW w:type="auto" w:w="0"/>
        <w:jc w:val="left"/>
        <w:tblLook w:firstColumn="1" w:firstRow="1" w:lastColumn="0" w:lastRow="0" w:noHBand="0" w:noVBand="1" w:val="04A0"/>
      </w:tblPr>
      <w:tblGrid>
        <w:gridCol w:w="4680"/>
        <w:gridCol w:w="4680"/>
      </w:tblGrid>
      <w:tr>
        <w:trPr>
          <w:tblHeader/>
        </w:trPr>
        <w:tc>
          <w:tcPr>
            <w:tcW w:type="dxa" w:w="403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Capability</w:t>
            </w:r>
          </w:p>
        </w:tc>
        <w:tc>
          <w:tcPr>
            <w:tcW w:type="dxa" w:w="829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It Does for Your Team</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CSDM framework tables (OOTB)</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Pre-built tables for Business Service, Business Application, Technical Service, and all relationship layers</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CSDM maturity assessment</w:t>
            </w:r>
          </w:p>
        </w:tc>
        <w:tc>
          <w:tcPr>
            <w:tcW w:type="dxa" w:w="829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Guided assessment tool that identifies where your current data sits on the CSDM maturity curve</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Service Mapping (guided)</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Assisted process for mapping technical CIs to business services — with pattern-based auto-discovery options</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Application Portfolio Management (APM)</w:t>
            </w:r>
          </w:p>
        </w:tc>
        <w:tc>
          <w:tcPr>
            <w:tcW w:type="dxa" w:w="829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OOTB application registry and lifecycle tracking built on CSDM tables</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Impact mapping</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Automatic incident impact calculation based on CSDM service hierarchy — surfaces business exposure from technical events</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CSDM health dashboard</w:t>
            </w:r>
          </w:p>
        </w:tc>
        <w:tc>
          <w:tcPr>
            <w:tcW w:type="dxa" w:w="829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Data quality metrics for CSDM completeness — identifies gaps in service mapping</w:t>
            </w:r>
          </w:p>
        </w:tc>
      </w:tr>
    </w:tbl>
    <w:p>
      <w:pPr>
        <w:spacing w:after="40"/>
      </w:pPr>
    </w:p>
    <w:p>
      <w:r>
        <w:br w:type="page"/>
      </w:r>
    </w:p>
    <w:p>
      <w:pPr>
        <w:pStyle w:val="Heading1"/>
      </w:pPr>
      <w:r>
        <w:t>4.  The Key Decisions You Will Make in Our Workshop</w:t>
      </w:r>
    </w:p>
    <w:p>
      <w:pPr>
        <w:spacing w:after="160" w:before="0"/>
      </w:pPr>
      <w:r>
        <w:rPr>
          <w:rFonts w:ascii="Calibri" w:hAnsi="Calibri"/>
          <w:color w:val="1A1A1A"/>
          <w:sz w:val="22"/>
        </w:rPr>
        <w:t>These are the CSDM decisions for the workshop. The most important is scope — how much of the CSDM hierarchy to build at implementation vs. grow over time.</w:t>
      </w:r>
    </w:p>
    <w:p>
      <w:pPr>
        <w:pStyle w:val="Heading2"/>
      </w:pPr>
      <w:r>
        <w:t>Decision 1: CSDM Adoption Scope for Phase One</w:t>
      </w:r>
    </w:p>
    <w:p>
      <w:pPr>
        <w:spacing w:after="160" w:before="0"/>
      </w:pPr>
      <w:r>
        <w:rPr>
          <w:rFonts w:ascii="Calibri" w:hAnsi="Calibri"/>
          <w:color w:val="1A1A1A"/>
          <w:sz w:val="22"/>
        </w:rPr>
        <w:t>How much of the CSDM hierarchy will you build in Sprint 4? The recommendation is to start with Business Services and their direct application relationships — this produces immediate value for Incident impact mapping and Change risk scoring. Full CSDM maturity is a program, not a sprint.</w:t>
      </w:r>
    </w:p>
    <w:p>
      <w:pPr>
        <w:spacing w:after="160" w:before="0"/>
      </w:pPr>
      <w:r>
        <w:rPr>
          <w:rFonts w:ascii="Calibri" w:hAnsi="Calibri"/>
          <w:i/>
          <w:color w:val="1A1A1A"/>
          <w:sz w:val="22"/>
        </w:rPr>
        <w:t>Trade-off to consider: Starting narrow produces faster value; attempting full CSDM maturity in one sprint typically produces incomplete, low-quality data.</w:t>
      </w:r>
    </w:p>
    <w:p>
      <w:pPr>
        <w:pStyle w:val="Heading2"/>
      </w:pPr>
      <w:r>
        <w:t>Decision 2: Business Service Definition</w:t>
      </w:r>
    </w:p>
    <w:p>
      <w:pPr>
        <w:spacing w:after="160" w:before="0"/>
      </w:pPr>
      <w:r>
        <w:rPr>
          <w:rFonts w:ascii="Calibri" w:hAnsi="Calibri"/>
          <w:color w:val="1A1A1A"/>
          <w:sz w:val="22"/>
        </w:rPr>
        <w:t>What are your organization's Business Services — the IT-delivered capabilities that the business cares about? This is a business-IT alignment conversation. The workshop will facilitate the initial list, but it requires input from business relationship managers or process owners, not just IT.</w:t>
      </w:r>
    </w:p>
    <w:p>
      <w:pPr>
        <w:pStyle w:val="Heading2"/>
      </w:pPr>
      <w:r>
        <w:t>Decision 3: Data Ownership</w:t>
      </w:r>
    </w:p>
    <w:p>
      <w:pPr>
        <w:spacing w:after="160" w:before="0"/>
      </w:pPr>
      <w:r>
        <w:rPr>
          <w:rFonts w:ascii="Calibri" w:hAnsi="Calibri"/>
          <w:color w:val="1A1A1A"/>
          <w:sz w:val="22"/>
        </w:rPr>
        <w:t>Who owns CSDM data ongoing — who populates it, who validates it, and who keeps it current as the environment changes? Without clear ownership, CSDM data decays quickly after go-live. We will define data ownership roles in the workshop.</w:t>
      </w:r>
    </w:p>
    <w:p>
      <w:pPr>
        <w:pStyle w:val="Heading1"/>
      </w:pPr>
      <w:r>
        <w:t>5.  Things to Think About Before We Meet</w:t>
      </w:r>
    </w:p>
    <w:p>
      <w:pPr>
        <w:spacing w:after="160" w:before="0"/>
      </w:pPr>
      <w:r>
        <w:rPr>
          <w:rFonts w:ascii="Calibri" w:hAnsi="Calibri"/>
          <w:color w:val="1A1A1A"/>
          <w:sz w:val="22"/>
        </w:rPr>
        <w:t>These questions will help your team prepare for the CSDM discussion.</w:t>
      </w:r>
    </w:p>
    <w:p>
      <w:pPr>
        <w:pStyle w:val="ListBullet"/>
        <w:spacing w:after="40"/>
        <w:ind w:left="360"/>
      </w:pPr>
      <w:r>
        <w:rPr>
          <w:rFonts w:ascii="Calibri" w:hAnsi="Calibri"/>
          <w:sz w:val="22"/>
        </w:rPr>
        <w:t>Can you name the 10–15 most critical business capabilities that IT supports? (These become your starting Business Services.)</w:t>
      </w:r>
    </w:p>
    <w:p>
      <w:pPr>
        <w:pStyle w:val="ListBullet"/>
        <w:spacing w:after="40"/>
        <w:ind w:left="360"/>
      </w:pPr>
      <w:r>
        <w:rPr>
          <w:rFonts w:ascii="Calibri" w:hAnsi="Calibri"/>
          <w:sz w:val="22"/>
        </w:rPr>
        <w:t>Do you have an existing application inventory or CMDB? How current and complete is it?</w:t>
      </w:r>
    </w:p>
    <w:p>
      <w:pPr>
        <w:pStyle w:val="ListBullet"/>
        <w:spacing w:after="40"/>
        <w:ind w:left="360"/>
      </w:pPr>
      <w:r>
        <w:rPr>
          <w:rFonts w:ascii="Calibri" w:hAnsi="Calibri"/>
          <w:sz w:val="22"/>
        </w:rPr>
        <w:t>Who in your organization owns the relationship between IT systems and business processes — IT, Enterprise Architecture, or Business Relationship Management?</w:t>
      </w:r>
    </w:p>
    <w:p>
      <w:pPr>
        <w:pStyle w:val="ListBullet"/>
        <w:spacing w:after="40"/>
        <w:ind w:left="360"/>
      </w:pPr>
      <w:r>
        <w:rPr>
          <w:rFonts w:ascii="Calibri" w:hAnsi="Calibri"/>
          <w:sz w:val="22"/>
        </w:rPr>
        <w:t>Are there specific Incident or Change use cases where understanding business service impact is most critical?</w:t>
      </w:r>
    </w:p>
    <w:p>
      <w:pPr>
        <w:spacing w:after="160" w:before="0"/>
      </w:pPr>
      <w:r>
        <w:rPr>
          <w:rFonts w:ascii="Calibri" w:hAnsi="Calibri"/>
          <w:color w:val="1A1A1A"/>
          <w:sz w:val="22"/>
        </w:rPr>
        <w:t>You do not need answers to all of these before the workshop. They are prompts for reflection, not prerequisites. Bring what you have. The workshop is where we work through the rest together.</w:t>
      </w:r>
    </w:p>
    <w:p>
      <w:pPr>
        <w:pStyle w:val="Heading2"/>
      </w:pPr>
      <w:r>
        <w:t>What to Bring to the Workshop</w:t>
      </w:r>
    </w:p>
    <w:p>
      <w:pPr>
        <w:pStyle w:val="ListBullet"/>
        <w:spacing w:after="40"/>
        <w:ind w:left="360"/>
      </w:pPr>
      <w:r>
        <w:rPr>
          <w:rFonts w:ascii="Calibri" w:hAnsi="Calibri"/>
          <w:sz w:val="22"/>
        </w:rPr>
        <w:t>Application inventory or existing CMDB export (however rough)</w:t>
      </w:r>
    </w:p>
    <w:p>
      <w:pPr>
        <w:pStyle w:val="ListBullet"/>
        <w:spacing w:after="40"/>
        <w:ind w:left="360"/>
      </w:pPr>
      <w:r>
        <w:rPr>
          <w:rFonts w:ascii="Calibri" w:hAnsi="Calibri"/>
          <w:sz w:val="22"/>
        </w:rPr>
        <w:t>List of 10–15 critical business services or capabilities</w:t>
      </w:r>
    </w:p>
    <w:p>
      <w:pPr>
        <w:pStyle w:val="ListBullet"/>
        <w:spacing w:after="40"/>
        <w:ind w:left="360"/>
      </w:pPr>
      <w:r>
        <w:rPr>
          <w:rFonts w:ascii="Calibri" w:hAnsi="Calibri"/>
          <w:sz w:val="22"/>
        </w:rPr>
        <w:t>Enterprise architecture or service portfolio documentation if available</w:t>
      </w:r>
    </w:p>
    <w:p>
      <w:pPr>
        <w:pStyle w:val="ListBullet"/>
        <w:spacing w:after="40"/>
        <w:ind w:left="360"/>
      </w:pPr>
      <w:r>
        <w:rPr>
          <w:rFonts w:ascii="Calibri" w:hAnsi="Calibri"/>
          <w:sz w:val="22"/>
        </w:rPr>
        <w:t>Business relationship manager contacts</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Your ECS team will follow up with a short agenda before the CSDM workshop. If you have questions after reading this document, reach out to your ECS engagement manager — we are happy to walk through any section in advance.</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Confidential</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r>
      <w:tab/>
    </w:r>
    <w:r>
      <w:rPr>
        <w:rFonts w:ascii="Calibri" w:hAnsi="Calibri"/>
        <w:color w:val="475569"/>
        <w:spacing w:val="30"/>
        <w:sz w:val="18"/>
      </w:rPr>
      <w:t>Workshop Pre-Read  ·  CSDM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