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ROLE DESCRIPTION</w:t>
      </w:r>
    </w:p>
    <w:p>
      <w:pPr>
        <w:spacing w:before="0" w:after="40"/>
      </w:pPr>
      <w:r>
        <w:rPr>
          <w:rFonts w:ascii="Calibri" w:hAnsi="Calibri"/>
          <w:b/>
          <w:color w:val="0B1F3A"/>
          <w:sz w:val="56"/>
        </w:rPr>
        <w:t>Solution Architect</w:t>
      </w:r>
    </w:p>
    <w:p>
      <w:pPr>
        <w:spacing w:before="0" w:after="40"/>
      </w:pPr>
      <w:r>
        <w:rPr>
          <w:rFonts w:ascii="Calibri" w:hAnsi="Calibri"/>
          <w:b/>
          <w:color w:val="0B1F3A"/>
          <w:sz w:val="56"/>
        </w:rPr>
        <w:t>Role Narrative</w:t>
      </w:r>
    </w:p>
    <w:p>
      <w:pPr>
        <w:spacing w:before="120" w:after="400"/>
      </w:pPr>
      <w:r>
        <w:rPr>
          <w:rFonts w:ascii="Calibri" w:hAnsi="Calibri"/>
          <w:i/>
          <w:color w:val="0D9488"/>
          <w:sz w:val="24"/>
        </w:rPr>
        <w:t>A hybrid ServiceNow role — half delivery leadership, half presales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Practice Lead, Delivery Leadership, Engagement Managers, Solution Architects, Capture &amp; Proposal Leads</w:t>
      </w:r>
    </w:p>
    <w:p>
      <w:pPr>
        <w:spacing w:after="40"/>
      </w:pPr>
      <w:r>
        <w:rPr>
          <w:rFonts w:ascii="Calibri" w:hAnsi="Calibri"/>
          <w:b w:val="0"/>
          <w:i w:val="0"/>
          <w:color w:val="475569"/>
          <w:sz w:val="20"/>
        </w:rPr>
        <w:t>Companion to: ServiceNow Leadership R&amp;R (V4) · Roles &amp; Expectations (CLT-EO-02)</w:t>
      </w:r>
    </w:p>
    <w:p>
      <w:pPr>
        <w:spacing w:after="80"/>
      </w:pPr>
      <w:r>
        <w:rPr>
          <w:rFonts w:ascii="Calibri" w:hAnsi="Calibri"/>
          <w:b w:val="0"/>
          <w:i w:val="0"/>
          <w:color w:val="475569"/>
          <w:sz w:val="20"/>
        </w:rPr>
        <w:t>Document ID: INT-OR-03     ·     Version: 2.0     ·     Status: Draft</w:t>
      </w:r>
    </w:p>
    <w:p>
      <w:pPr>
        <w:spacing w:after="280"/>
      </w:pPr>
      <w:r>
        <w:rPr>
          <w:rFonts w:ascii="Calibri" w:hAnsi="Calibri"/>
          <w:b w:val="0"/>
          <w:i/>
          <w:color w:val="475569"/>
          <w:sz w:val="20"/>
        </w:rPr>
        <w:t>Internal Use Only · Confidential</w:t>
      </w:r>
    </w:p>
    <w:p>
      <w:r>
        <w:br w:type="page"/>
      </w:r>
    </w:p>
    <w:p>
      <w:pPr>
        <w:pStyle w:val="Heading1"/>
      </w:pPr>
      <w:r>
        <w:t>Role Summary at a Glance</w:t>
      </w:r>
    </w:p>
    <w:p>
      <w:pPr>
        <w:spacing w:after="160" w:before="0"/>
      </w:pPr>
      <w:r>
        <w:rPr>
          <w:rFonts w:ascii="Calibri" w:hAnsi="Calibri"/>
          <w:color w:val="1A1A1A"/>
          <w:sz w:val="22"/>
        </w:rPr>
        <w:t>The ECS Solution Architect is the practice's senior ServiceNow technical resource, with time committed evenly between active delivery engagements and presales pursuits. One person, two halves: the technical authority on the engagements we have won, and the technical voice on the work we are trying to win.</w:t>
      </w:r>
    </w:p>
    <w:p>
      <w:pPr>
        <w:pStyle w:val="Heading3"/>
      </w:pPr>
      <w:r>
        <w:t>Delivery responsibilities (50%)</w:t>
      </w:r>
    </w:p>
    <w:p>
      <w:pPr>
        <w:pStyle w:val="ListBullet"/>
        <w:spacing w:after="40"/>
        <w:ind w:left="360"/>
      </w:pPr>
      <w:r>
        <w:rPr>
          <w:rFonts w:ascii="Calibri" w:hAnsi="Calibri"/>
          <w:sz w:val="22"/>
        </w:rPr>
        <w:t>Own the solution architecture and technical design for assigned engagements.</w:t>
      </w:r>
    </w:p>
    <w:p>
      <w:pPr>
        <w:pStyle w:val="ListBullet"/>
        <w:spacing w:after="40"/>
        <w:ind w:left="360"/>
      </w:pPr>
      <w:r>
        <w:rPr>
          <w:rFonts w:ascii="Calibri" w:hAnsi="Calibri"/>
          <w:sz w:val="22"/>
        </w:rPr>
        <w:t>Lead technical design decisions — data model, integrations, security, and platform configuration approach.</w:t>
      </w:r>
    </w:p>
    <w:p>
      <w:pPr>
        <w:pStyle w:val="ListBullet"/>
        <w:spacing w:after="40"/>
        <w:ind w:left="360"/>
      </w:pPr>
      <w:r>
        <w:rPr>
          <w:rFonts w:ascii="Calibri" w:hAnsi="Calibri"/>
          <w:sz w:val="22"/>
        </w:rPr>
        <w:t>Provide technical sign-off: review and accept configuration, code, and integration work before it reaches the customer.</w:t>
      </w:r>
    </w:p>
    <w:p>
      <w:pPr>
        <w:pStyle w:val="ListBullet"/>
        <w:spacing w:after="40"/>
        <w:ind w:left="360"/>
      </w:pPr>
      <w:r>
        <w:rPr>
          <w:rFonts w:ascii="Calibri" w:hAnsi="Calibri"/>
          <w:sz w:val="22"/>
        </w:rPr>
        <w:t>Serve as the technical voice in design workshops and requirements sessions.</w:t>
      </w:r>
    </w:p>
    <w:p>
      <w:pPr>
        <w:pStyle w:val="ListBullet"/>
        <w:spacing w:after="40"/>
        <w:ind w:left="360"/>
      </w:pPr>
      <w:r>
        <w:rPr>
          <w:rFonts w:ascii="Calibri" w:hAnsi="Calibri"/>
          <w:sz w:val="22"/>
        </w:rPr>
        <w:t>Guide the technical consultants; set and enforce development and configuration standards.</w:t>
      </w:r>
    </w:p>
    <w:p>
      <w:pPr>
        <w:pStyle w:val="ListBullet"/>
        <w:spacing w:after="40"/>
        <w:ind w:left="360"/>
      </w:pPr>
      <w:r>
        <w:rPr>
          <w:rFonts w:ascii="Calibri" w:hAnsi="Calibri"/>
          <w:sz w:val="22"/>
        </w:rPr>
        <w:t>Own technical risk: identify, escalate, and resolve architecture and platform risks through go-live.</w:t>
      </w:r>
    </w:p>
    <w:p>
      <w:pPr>
        <w:pStyle w:val="Heading3"/>
      </w:pPr>
      <w:r>
        <w:t>Presales responsibilities (50%)</w:t>
      </w:r>
    </w:p>
    <w:p>
      <w:pPr>
        <w:pStyle w:val="ListBullet"/>
        <w:spacing w:after="40"/>
        <w:ind w:left="360"/>
      </w:pPr>
      <w:r>
        <w:rPr>
          <w:rFonts w:ascii="Calibri" w:hAnsi="Calibri"/>
          <w:sz w:val="22"/>
        </w:rPr>
        <w:t>Lead technical discovery with prospective customers; assess current platforms and requirements.</w:t>
      </w:r>
    </w:p>
    <w:p>
      <w:pPr>
        <w:pStyle w:val="ListBullet"/>
        <w:spacing w:after="40"/>
        <w:ind w:left="360"/>
      </w:pPr>
      <w:r>
        <w:rPr>
          <w:rFonts w:ascii="Calibri" w:hAnsi="Calibri"/>
          <w:sz w:val="22"/>
        </w:rPr>
        <w:t>Shape solution concepts: products, phasing, integration approach, and delivery assumptions.</w:t>
      </w:r>
    </w:p>
    <w:p>
      <w:pPr>
        <w:pStyle w:val="ListBullet"/>
        <w:spacing w:after="40"/>
        <w:ind w:left="360"/>
      </w:pPr>
      <w:r>
        <w:rPr>
          <w:rFonts w:ascii="Calibri" w:hAnsi="Calibri"/>
          <w:sz w:val="22"/>
        </w:rPr>
        <w:t>Design, build, and deliver product demonstrations tailored to the customer's use cases.</w:t>
      </w:r>
    </w:p>
    <w:p>
      <w:pPr>
        <w:pStyle w:val="ListBullet"/>
        <w:spacing w:after="40"/>
        <w:ind w:left="360"/>
      </w:pPr>
      <w:r>
        <w:rPr>
          <w:rFonts w:ascii="Calibri" w:hAnsi="Calibri"/>
          <w:sz w:val="22"/>
        </w:rPr>
        <w:t>Develop the technical content of RFX responses — solution narratives, technical approaches, compliance responses, white papers, and orals support.</w:t>
      </w:r>
    </w:p>
    <w:p>
      <w:pPr>
        <w:pStyle w:val="ListBullet"/>
        <w:spacing w:after="40"/>
        <w:ind w:left="360"/>
      </w:pPr>
      <w:r>
        <w:rPr>
          <w:rFonts w:ascii="Calibri" w:hAnsi="Calibri"/>
          <w:sz w:val="22"/>
        </w:rPr>
        <w:t>Provide draft level-of-effort and scoping input to the estimate.</w:t>
      </w:r>
    </w:p>
    <w:p>
      <w:pPr>
        <w:pStyle w:val="ListBullet"/>
        <w:spacing w:after="40"/>
        <w:ind w:left="360"/>
      </w:pPr>
      <w:r>
        <w:rPr>
          <w:rFonts w:ascii="Calibri" w:hAnsi="Calibri"/>
          <w:sz w:val="22"/>
        </w:rPr>
        <w:t>Maintain reusable presales assets: demo environments and scenarios, reference architectures, solution briefs.</w:t>
      </w:r>
    </w:p>
    <w:p>
      <w:pPr>
        <w:pStyle w:val="ListBullet"/>
        <w:spacing w:after="40"/>
        <w:ind w:left="360"/>
      </w:pPr>
      <w:r>
        <w:rPr>
          <w:rFonts w:ascii="Calibri" w:hAnsi="Calibri"/>
          <w:sz w:val="22"/>
        </w:rPr>
        <w:t>Hand off the technical solution baseline to the delivery team at award.</w:t>
      </w:r>
    </w:p>
    <w:p>
      <w:pPr>
        <w:pStyle w:val="Heading3"/>
      </w:pPr>
      <w:r>
        <w:t>Key boundaries</w:t>
      </w:r>
    </w:p>
    <w:p>
      <w:pPr>
        <w:pStyle w:val="ListBullet"/>
        <w:spacing w:after="40"/>
        <w:ind w:left="360"/>
      </w:pPr>
      <w:r>
        <w:rPr>
          <w:rFonts w:ascii="Calibri" w:hAnsi="Calibri"/>
          <w:sz w:val="22"/>
        </w:rPr>
        <w:t>Drafts level of effort only — final hours, staffing, pricing, rates, and margin are owned by delivery and practice leadership.</w:t>
      </w:r>
    </w:p>
    <w:p>
      <w:pPr>
        <w:pStyle w:val="ListBullet"/>
        <w:spacing w:after="40"/>
        <w:ind w:left="360"/>
      </w:pPr>
      <w:r>
        <w:rPr>
          <w:rFonts w:ascii="Calibri" w:hAnsi="Calibri"/>
          <w:sz w:val="22"/>
        </w:rPr>
        <w:t>Complex, high-risk, or nonstandard pursuit solutions are validated with the Lead Architect before submission.</w:t>
      </w:r>
    </w:p>
    <w:p>
      <w:pPr>
        <w:pStyle w:val="ListBullet"/>
        <w:spacing w:after="40"/>
        <w:ind w:left="360"/>
      </w:pPr>
      <w:r>
        <w:rPr>
          <w:rFonts w:ascii="Calibri" w:hAnsi="Calibri"/>
          <w:sz w:val="22"/>
        </w:rPr>
        <w:t>Committed delivery obligations are protected first when delivery and pursuit demands collide.</w:t>
      </w:r>
    </w:p>
    <w:p>
      <w:pPr>
        <w:pStyle w:val="Heading1"/>
      </w:pPr>
      <w:r>
        <w:t>1.  Role Purpose</w:t>
      </w:r>
    </w:p>
    <w:p>
      <w:pPr>
        <w:spacing w:after="160" w:before="0"/>
      </w:pPr>
      <w:r>
        <w:rPr>
          <w:rFonts w:ascii="Calibri" w:hAnsi="Calibri"/>
          <w:color w:val="1A1A1A"/>
          <w:sz w:val="22"/>
        </w:rPr>
        <w:t>The 50/50 split is deliberate. An architect who only sells drifts toward promising what the platform brochure says; an architect who only delivers loses sight of what the market is asking for. The hybrid Solution Architect closes that loop: demonstrations and proposals are grounded in patterns the SA has personally delivered, and every estimate carries the credibility of someone who will live with it after award. What we demonstrate is what we deliver — because the same person owns both.</w:t>
      </w:r>
    </w:p>
    <w:p>
      <w:pPr>
        <w:pStyle w:val="Heading1"/>
      </w:pPr>
      <w:r>
        <w:t>2.  The Delivery Half</w:t>
      </w:r>
    </w:p>
    <w:p>
      <w:pPr>
        <w:spacing w:after="160" w:before="0"/>
      </w:pPr>
      <w:r>
        <w:rPr>
          <w:rFonts w:ascii="Calibri" w:hAnsi="Calibri"/>
          <w:color w:val="1A1A1A"/>
          <w:sz w:val="22"/>
        </w:rPr>
        <w:t>On an active engagement the SA is the technical authority. The SA owns the end-to-end solution architecture — data model, module configuration approach, integration design, security model, and environment strategy — and every design decision traces back to the SA. Where a requirement can be met multiple ways, the SA weighs configuration against custom development, documents the trade-offs, and makes the recommendation that best serves the customer's long-term platform health.</w:t>
      </w:r>
    </w:p>
    <w:p>
      <w:pPr>
        <w:spacing w:after="160" w:before="0"/>
      </w:pPr>
      <w:r>
        <w:rPr>
          <w:rFonts w:ascii="Calibri" w:hAnsi="Calibri"/>
          <w:color w:val="1A1A1A"/>
          <w:sz w:val="22"/>
        </w:rPr>
        <w:t>The SA holds technical sign-off: configuration and code review, integration acceptance, and the technical quality of what the delivery team builds. The SA mentors the technical consultants, sets development standards, and is the escalation point for any technical blocker. In workshops and requirements sessions, the SA is the voice that makes the platform's capabilities concrete.</w:t>
      </w:r>
    </w:p>
    <w:p>
      <w:pPr>
        <w:spacing w:after="160" w:before="0"/>
      </w:pPr>
      <w:r>
        <w:rPr>
          <w:rFonts w:ascii="Calibri" w:hAnsi="Calibri"/>
          <w:color w:val="1A1A1A"/>
          <w:sz w:val="22"/>
        </w:rPr>
        <w:t>The SA's delivery load is front-weighted: heaviest during initiation and design, steady through build (reviews and sign-off), lighter through testing and go-live. That shape is what makes the hybrid model workable — presales surges are steered toward the lighter phases, and design-heavy windows are protected in advance.</w:t>
      </w:r>
    </w:p>
    <w:p>
      <w:pPr>
        <w:pStyle w:val="Heading1"/>
      </w:pPr>
      <w:r>
        <w:t>3.  The Presales Half</w:t>
      </w:r>
    </w:p>
    <w:p>
      <w:pPr>
        <w:spacing w:after="160" w:before="0"/>
      </w:pPr>
      <w:r>
        <w:rPr>
          <w:rFonts w:ascii="Calibri" w:hAnsi="Calibri"/>
          <w:color w:val="1A1A1A"/>
          <w:sz w:val="22"/>
        </w:rPr>
        <w:t>The other half of the SA's time belongs to pre-award growth, working with capture and proposal teams, delivery leadership, and the Practice Lead. For each qualified pursuit the SA leads technical discovery — the prospect's processes, existing platform, integrations, data, and constraints — and translates it into a credible solution concept: which ServiceNow products, what phasing, what is configuration versus development versus integration, and where the risk lives. The SA adjusts the technical altitude for the audience without changing the substance.</w:t>
      </w:r>
    </w:p>
    <w:p>
      <w:pPr>
        <w:spacing w:after="160" w:before="0"/>
      </w:pPr>
      <w:r>
        <w:rPr>
          <w:rFonts w:ascii="Calibri" w:hAnsi="Calibri"/>
          <w:color w:val="1A1A1A"/>
          <w:sz w:val="22"/>
        </w:rPr>
        <w:t>Demonstrations are a core craft of the role. The SA designs, prepares, and delivers demos tied to the customer's actual use cases — not feature tours — and maintains the practice's demo environments, scenarios, and scripts so each pursuit starts from a working foundation. Every demonstration must reflect what a real delivery team can build and support; the SA's own delivery half is the built-in reality check.</w:t>
      </w:r>
    </w:p>
    <w:p>
      <w:pPr>
        <w:spacing w:after="160" w:before="0"/>
      </w:pPr>
      <w:r>
        <w:rPr>
          <w:rFonts w:ascii="Calibri" w:hAnsi="Calibri"/>
          <w:color w:val="1A1A1A"/>
          <w:sz w:val="22"/>
        </w:rPr>
        <w:t>On RFX responses, the SA owns the technical volume: solution narratives, technical approaches, architecture diagrams, compliance responses, white papers, and orals support across RFIs, RFQs, RFPs, task orders, and teaming requests — content that is accurate, persuasive, internally consistent, and traceable to the solicitation's requirements. The SA also develops the technical scope baseline — assumptions, dependencies, exclusions, and risks — and provides draft level-of-effort input, flagging weak requirements and capability gaps before submission. When a pursuit is won, the SA hands the delivery team the full solution baseline and stays available for questions of pre-award intent.</w:t>
      </w:r>
    </w:p>
    <w:p>
      <w:pPr>
        <w:pStyle w:val="Heading1"/>
      </w:pPr>
      <w:r>
        <w:t>4.  Decision Rights and Boundaries</w:t>
      </w:r>
    </w:p>
    <w:tbl>
      <w:tblPr>
        <w:tblW w:type="auto" w:w="0"/>
        <w:jc w:val="left"/>
        <w:tblLook w:firstColumn="1" w:firstRow="1" w:lastColumn="0" w:lastRow="0" w:noHBand="0" w:noVBand="1" w:val="04A0"/>
      </w:tblPr>
      <w:tblGrid>
        <w:gridCol w:w="3120"/>
        <w:gridCol w:w="3120"/>
        <w:gridCol w:w="312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w:t>
            </w:r>
          </w:p>
        </w:tc>
        <w:tc>
          <w:tcPr>
            <w:tcW w:type="dxa" w:w="27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SA's role</w:t>
            </w:r>
          </w:p>
        </w:tc>
        <w:tc>
          <w:tcPr>
            <w:tcW w:type="dxa" w:w="570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decides</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architecture and design</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Owns</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sign-off on delivered work</w:t>
            </w:r>
          </w:p>
        </w:tc>
        <w:tc>
          <w:tcPr>
            <w:tcW w:type="dxa" w:w="27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Owns</w:t>
            </w:r>
          </w:p>
        </w:tc>
        <w:tc>
          <w:tcPr>
            <w:tcW w:type="dxa" w:w="570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Pre-award solution baseline (standard)</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Owns</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 within delegated thresholds</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High-risk / nonstandard pursuits</w:t>
            </w:r>
          </w:p>
        </w:tc>
        <w:tc>
          <w:tcPr>
            <w:tcW w:type="dxa" w:w="27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Develops</w:t>
            </w:r>
          </w:p>
        </w:tc>
        <w:tc>
          <w:tcPr>
            <w:tcW w:type="dxa" w:w="570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 + Lead Architect validation</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Level of effort and staffing</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Drafts input</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Delivery leadership</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Pricing strategy, rates, and margin</w:t>
            </w:r>
          </w:p>
        </w:tc>
        <w:tc>
          <w:tcPr>
            <w:tcW w:type="dxa" w:w="27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Informs</w:t>
            </w:r>
          </w:p>
        </w:tc>
        <w:tc>
          <w:tcPr>
            <w:tcW w:type="dxa" w:w="570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Delivery leadership + Practice Lead</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Bid / no-bid</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Recommends</w:t>
            </w:r>
          </w:p>
        </w:tc>
        <w:tc>
          <w:tcPr>
            <w:tcW w:type="dxa" w:w="570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leadership</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LINE THAT MATTERS MOST: The SA never owns price — final hours, staffing, rates, and margin belong to delivery and practice leadership.</w:t>
      </w:r>
    </w:p>
    <w:p>
      <w:pPr>
        <w:pStyle w:val="Heading1"/>
      </w:pPr>
      <w:r>
        <w:t>5.  Managing the 50/50 Split</w:t>
      </w:r>
    </w:p>
    <w:p>
      <w:pPr>
        <w:spacing w:after="160" w:before="0"/>
      </w:pPr>
      <w:r>
        <w:rPr>
          <w:rFonts w:ascii="Calibri" w:hAnsi="Calibri"/>
          <w:color w:val="1A1A1A"/>
          <w:sz w:val="22"/>
        </w:rPr>
        <w:t>The split is a planning commitment measured over a quarter, not a weekly timesheet target. Collisions are managed by rule: committed delivery obligations are protected first, with pursuits drawing on pre-identified backup architecture capacity; presales surges are planned against the engagement calendar weeks ahead; and sustained drift past roughly 60/40 is raised to leadership as a capacity signal. When a genuine conflict remains, delivery leadership and the Practice Lead arbitrate — the SA does not adjudicate their own split.</w:t>
      </w:r>
    </w:p>
    <w:p>
      <w:pPr>
        <w:pStyle w:val="Heading1"/>
      </w:pPr>
      <w:r>
        <w:t>6.  Success Measures</w:t>
      </w:r>
    </w:p>
    <w:p>
      <w:pPr>
        <w:pStyle w:val="ListBullet"/>
        <w:spacing w:after="40"/>
        <w:ind w:left="360"/>
      </w:pPr>
      <w:r>
        <w:rPr>
          <w:rFonts w:ascii="Calibri" w:hAnsi="Calibri"/>
          <w:sz w:val="22"/>
        </w:rPr>
        <w:t>Delivery: engagement technical health, quality of technical sign-off (defect escape rate), and customer confidence in the architecture.</w:t>
      </w:r>
    </w:p>
    <w:p>
      <w:pPr>
        <w:pStyle w:val="ListBullet"/>
        <w:spacing w:after="40"/>
        <w:ind w:left="360"/>
      </w:pPr>
      <w:r>
        <w:rPr>
          <w:rFonts w:ascii="Calibri" w:hAnsi="Calibri"/>
          <w:sz w:val="22"/>
        </w:rPr>
        <w:t>Presales: on-time, compliant technical volumes; demos that materially advance (or correctly disqualify) opportunities; currency and reuse of demo and proposal assets; estimate integrity — how rarely pre-award assumptions surface as surprises after award.</w:t>
      </w:r>
    </w:p>
    <w:p>
      <w:pPr>
        <w:pStyle w:val="ListBullet"/>
        <w:spacing w:after="40"/>
        <w:ind w:left="360"/>
      </w:pPr>
      <w:r>
        <w:rPr>
          <w:rFonts w:ascii="Calibri" w:hAnsi="Calibri"/>
          <w:sz w:val="22"/>
        </w:rPr>
        <w:t>The loop: alignment between what was proposed and what was delivered on pursuits the SA shaped — the signature metric of the hybrid model.</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Solution Architect Role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