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LEADERSHIP OPERATING MODEL</w:t>
      </w:r>
    </w:p>
    <w:p>
      <w:pPr>
        <w:spacing w:before="0" w:after="40"/>
      </w:pPr>
      <w:r>
        <w:rPr>
          <w:rFonts w:ascii="Calibri" w:hAnsi="Calibri"/>
          <w:b/>
          <w:color w:val="0B1F3A"/>
          <w:sz w:val="56"/>
        </w:rPr>
        <w:t>Leadership Roles &amp; Responsibilities</w:t>
      </w:r>
    </w:p>
    <w:p>
      <w:pPr>
        <w:spacing w:before="0" w:after="40"/>
      </w:pPr>
      <w:r>
        <w:rPr>
          <w:rFonts w:ascii="Calibri" w:hAnsi="Calibri"/>
          <w:b/>
          <w:color w:val="0B1F3A"/>
          <w:sz w:val="56"/>
        </w:rPr>
        <w:t>V4 Revision Overview</w:t>
      </w:r>
    </w:p>
    <w:p>
      <w:pPr>
        <w:spacing w:before="120" w:after="400"/>
      </w:pPr>
      <w:r>
        <w:rPr>
          <w:rFonts w:ascii="Calibri" w:hAnsi="Calibri"/>
          <w:i/>
          <w:color w:val="0D9488"/>
          <w:sz w:val="24"/>
        </w:rPr>
        <w:t>What changed from V3, and why — companion to the redlined role charters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Integrated Solutions / ServiceNow leadership team</w:t>
      </w:r>
    </w:p>
    <w:p>
      <w:pPr>
        <w:spacing w:after="40"/>
      </w:pPr>
      <w:r>
        <w:rPr>
          <w:rFonts w:ascii="Calibri" w:hAnsi="Calibri"/>
          <w:b w:val="0"/>
          <w:i w:val="0"/>
          <w:color w:val="475569"/>
          <w:sz w:val="20"/>
        </w:rPr>
        <w:t>Companion to: 20260715 ServiceNow Leadership R&amp;R (V4 redline, tracked changes)</w:t>
      </w:r>
    </w:p>
    <w:p>
      <w:pPr>
        <w:spacing w:after="80"/>
      </w:pPr>
      <w:r>
        <w:rPr>
          <w:rFonts w:ascii="Calibri" w:hAnsi="Calibri"/>
          <w:b w:val="0"/>
          <w:i w:val="0"/>
          <w:color w:val="475569"/>
          <w:sz w:val="20"/>
        </w:rPr>
        <w:t>Document ID: INT-RR-V4-01     ·     Version: 1.1     ·     Status: Proposed — for leadership review</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This overview accompanies the tracked-changes redline of the Integrated Solutions / ServiceNow Team Leadership Roles and Responsibilities document (V3, 2026-07-15). It summarizes the proposed V4 revisions and the reasoning behind them so reviewers can evaluate the intent before working through the redline itself. All revisions are visible as tracked changes in the companion document; nothing has been accepted.</w:t>
      </w:r>
    </w:p>
    <w:p>
      <w:pPr>
        <w:spacing w:after="160" w:before="0"/>
      </w:pPr>
      <w:r>
        <w:rPr>
          <w:rFonts w:ascii="Calibri" w:hAnsi="Calibri"/>
          <w:color w:val="1A1A1A"/>
          <w:sz w:val="22"/>
        </w:rPr>
        <w:t>The design intent of V4 in one sentence: every leader owns their domain outright, accountability is shared across the team, and no decision has an ambiguous owner. The revisions strengthen every seat at the table — they redistribute authority to match accountability rather than concentrating it.</w:t>
      </w:r>
    </w:p>
    <w:p>
      <w:pPr>
        <w:pStyle w:val="Heading1"/>
      </w:pPr>
      <w:r>
        <w:t>1.  The Three Design Principles Behind the Revision</w:t>
      </w:r>
    </w:p>
    <w:p>
      <w:pPr>
        <w:pStyle w:val="Heading2"/>
      </w:pPr>
      <w:r>
        <w:t>1. The Practice Lead and the Delivery Lead must be genuinely distinct roles</w:t>
      </w:r>
    </w:p>
    <w:p>
      <w:pPr>
        <w:spacing w:after="160" w:before="0"/>
      </w:pPr>
      <w:r>
        <w:rPr>
          <w:rFonts w:ascii="Calibri" w:hAnsi="Calibri"/>
          <w:color w:val="1A1A1A"/>
          <w:sz w:val="22"/>
        </w:rPr>
        <w:t>V3 described the Practice Lead as owning “integrated priorities, organizational capability, and final cross-functional decisions.” Because Delivery, the PMO, and the Lead Architect were chartered as peers, every disagreement among them escalated to the Practice Lead — which quietly made the Practice Lead the de facto delivery manager, at the expense of the strategic role only the Practice Lead can perform. V4 draws the line cleanly: the Practice Lead owns the business — strategy, P&amp;L, investment, partner relationships, rates and margin — and independently verifies delivery health; the Delivery Lead owns delivery execution end to end and answers to the Practice Lead for the integrated result. Both roles get stronger: one gains freedom from operational drag plus a true verification function; the other gains the coherence to actually run delivery.</w:t>
      </w:r>
    </w:p>
    <w:p>
      <w:pPr>
        <w:pStyle w:val="Heading2"/>
      </w:pPr>
      <w:r>
        <w:t>2. Accountability requires authority — for every seat at the table</w:t>
      </w:r>
    </w:p>
    <w:p>
      <w:pPr>
        <w:spacing w:after="160" w:before="0"/>
      </w:pPr>
      <w:r>
        <w:rPr>
          <w:rFonts w:ascii="Calibri" w:hAnsi="Calibri"/>
          <w:color w:val="1A1A1A"/>
          <w:sz w:val="22"/>
        </w:rPr>
        <w:t>The revision applies one rule uniformly: whoever answers for an outcome must hold the levers that produce it. Applied across the model:</w:t>
      </w:r>
    </w:p>
    <w:p>
      <w:pPr>
        <w:pStyle w:val="ListBullet"/>
        <w:spacing w:after="40"/>
        <w:ind w:left="360"/>
      </w:pPr>
      <w:r>
        <w:rPr>
          <w:rFonts w:ascii="Calibri" w:hAnsi="Calibri"/>
          <w:sz w:val="22"/>
        </w:rPr>
        <w:t>The Delivery Lead answers for delivery outcomes — so the role holds the deliverability gate (no bid, proposal, change request, or extension is submitted without certification that the scope, hours, staffing, and timeline as priced can be delivered), directs the delivery organization including the PMO Lead and Lead Architect, and decides recovery actions. The gate cuts both ways: once the Delivery Lead certifies, the accountability for delivering it is unambiguously theirs.</w:t>
      </w:r>
    </w:p>
    <w:p>
      <w:pPr>
        <w:pStyle w:val="ListBullet"/>
        <w:spacing w:after="40"/>
        <w:ind w:left="360"/>
      </w:pPr>
      <w:r>
        <w:rPr>
          <w:rFonts w:ascii="Calibri" w:hAnsi="Calibri"/>
          <w:sz w:val="22"/>
        </w:rPr>
        <w:t>The Lead Architect answers for technical quality — so design authority and technical standards are retained in full, and design exceptions with material cost, schedule, or customer impact require joint approval with the Delivery Lead: neither role can approve one alone.</w:t>
      </w:r>
    </w:p>
    <w:p>
      <w:pPr>
        <w:pStyle w:val="ListBullet"/>
        <w:spacing w:after="40"/>
        <w:ind w:left="360"/>
      </w:pPr>
      <w:r>
        <w:rPr>
          <w:rFonts w:ascii="Calibri" w:hAnsi="Calibri"/>
          <w:sz w:val="22"/>
        </w:rPr>
        <w:t>The PMO Lead answers for the integrity of project controls — so health ratings and gate findings remain evidence-based against published criteria regardless of reporting line, and the PMO can still reject incomplete gate evidence.</w:t>
      </w:r>
    </w:p>
    <w:p>
      <w:pPr>
        <w:pStyle w:val="ListBullet"/>
        <w:spacing w:after="40"/>
        <w:ind w:left="360"/>
      </w:pPr>
      <w:r>
        <w:rPr>
          <w:rFonts w:ascii="Calibri" w:hAnsi="Calibri"/>
          <w:sz w:val="22"/>
        </w:rPr>
        <w:t>The Practice Lead answers for the business — so rates, margin thresholds, investment, and final arbitration of cross-functional conflicts sit there, along with independent review of portfolio health and every red account.</w:t>
      </w:r>
    </w:p>
    <w:p>
      <w:pPr>
        <w:pStyle w:val="ListBullet"/>
        <w:spacing w:after="40"/>
        <w:ind w:left="360"/>
      </w:pPr>
      <w:r>
        <w:rPr>
          <w:rFonts w:ascii="Calibri" w:hAnsi="Calibri"/>
          <w:sz w:val="22"/>
        </w:rPr>
        <w:t>The Operations Lead answers for the business machinery — so forecast process, systems, staffing administration, and pricing mechanics are owned cleanly, without decision creep from other domains and without a routine PM load diluting the role.</w:t>
      </w:r>
    </w:p>
    <w:p>
      <w:pPr>
        <w:pStyle w:val="Heading2"/>
      </w:pPr>
      <w:r>
        <w:t>3. Pricing is a two-key decision: price = hours × rates</w:t>
      </w:r>
    </w:p>
    <w:p>
      <w:pPr>
        <w:spacing w:after="160" w:before="0"/>
      </w:pPr>
      <w:r>
        <w:rPr>
          <w:rFonts w:ascii="Calibri" w:hAnsi="Calibri"/>
          <w:color w:val="1A1A1A"/>
          <w:sz w:val="22"/>
        </w:rPr>
        <w:t>All pricing flows through the Delivery Lead, who owns pricing strategy and has final say on hours, level of effort, and staffing mix — because those are delivery commitments the role must then stand behind. The Practice Lead approves final rates and margin thresholds — because those are P&amp;L decisions. Each role holds one key; neither can price alone. Critically, a price rejected on margin grounds is remedied through a rate or margin conversation, never by unilaterally cutting hours — that is the clause most often violated when a deal gets tight, and it is now written down. It protects the practice in both directions: hours cannot be squeezed past deliverability, and margin cannot be eroded without the P&amp;L owner's key.</w:t>
      </w:r>
    </w:p>
    <w:p>
      <w:pPr>
        <w:pStyle w:val="Heading1"/>
      </w:pPr>
      <w:r>
        <w:t>2.  The PMO Reporting Question</w:t>
      </w:r>
    </w:p>
    <w:p>
      <w:pPr>
        <w:spacing w:after="160" w:before="0"/>
      </w:pPr>
      <w:r>
        <w:rPr>
          <w:rFonts w:ascii="Calibri" w:hAnsi="Calibri"/>
          <w:color w:val="1A1A1A"/>
          <w:sz w:val="22"/>
        </w:rPr>
        <w:t>There has been back-and-forth on whether the PMO should report to the Delivery Lead or stand separate. V4 places the PMO under the Delivery Lead deliberately, and this section addresses that decision directly.</w:t>
      </w:r>
    </w:p>
    <w:p>
      <w:pPr>
        <w:pStyle w:val="Heading2"/>
      </w:pPr>
      <w:r>
        <w:t>Why the PMO reports to the Delivery Lead</w:t>
      </w:r>
    </w:p>
    <w:p>
      <w:pPr>
        <w:pStyle w:val="ListBullet"/>
        <w:spacing w:after="40"/>
        <w:ind w:left="360"/>
      </w:pPr>
      <w:r>
        <w:rPr>
          <w:rFonts w:ascii="Calibri" w:hAnsi="Calibri"/>
          <w:sz w:val="22"/>
        </w:rPr>
        <w:t>Accountability requires control of the control system. The Delivery Lead answers for delivery outcomes — and gates, change control, RIDAC, health ratings, and the recovery process are the machinery that produces those outcomes. A leader cannot be held accountable for delivery execution while the control system that governs execution answers to someone else.</w:t>
      </w:r>
    </w:p>
    <w:p>
      <w:pPr>
        <w:pStyle w:val="ListBullet"/>
        <w:spacing w:after="40"/>
        <w:ind w:left="360"/>
      </w:pPr>
      <w:r>
        <w:rPr>
          <w:rFonts w:ascii="Calibri" w:hAnsi="Calibri"/>
          <w:sz w:val="22"/>
        </w:rPr>
        <w:t>Delivery operations is one integrated system. Execution and project controls are not two businesses; they are one operating rhythm. Splitting them puts a seam through the middle of every engagement — separate priorities, separate escalation paths, and negotiation where there should be direction.</w:t>
      </w:r>
    </w:p>
    <w:p>
      <w:pPr>
        <w:pStyle w:val="ListBullet"/>
        <w:spacing w:after="40"/>
        <w:ind w:left="360"/>
      </w:pPr>
      <w:r>
        <w:rPr>
          <w:rFonts w:ascii="Calibri" w:hAnsi="Calibri"/>
          <w:sz w:val="22"/>
        </w:rPr>
        <w:t>A separate PMO creates dual masters for PMs and EMs. Project managers would take delivery direction from one leader and control standards from another. When those pull apart — and on a troubled project they always do — the PM arbitrates between executives instead of executing.</w:t>
      </w:r>
    </w:p>
    <w:p>
      <w:pPr>
        <w:pStyle w:val="ListBullet"/>
        <w:spacing w:after="40"/>
        <w:ind w:left="360"/>
      </w:pPr>
      <w:r>
        <w:rPr>
          <w:rFonts w:ascii="Calibri" w:hAnsi="Calibri"/>
          <w:sz w:val="22"/>
        </w:rPr>
        <w:t>Recovery speed. When an engagement goes red, the leader deciding recovery actions must be able to direct the recovery process the same day — not request support from a parallel function. Every organizational seam in a recovery is measured in weeks of customer confidence.</w:t>
      </w:r>
    </w:p>
    <w:p>
      <w:pPr>
        <w:pStyle w:val="ListBullet"/>
        <w:spacing w:after="40"/>
        <w:ind w:left="360"/>
      </w:pPr>
      <w:r>
        <w:rPr>
          <w:rFonts w:ascii="Calibri" w:hAnsi="Calibri"/>
          <w:sz w:val="22"/>
        </w:rPr>
        <w:t>Escalation coherence. With a separate PMO, every controls-versus-execution disagreement escalates to the Practice Lead — recreating exactly the V3 problem this revision fixes, and pulling the Practice Lead back into operational arbitration.</w:t>
      </w:r>
    </w:p>
    <w:p>
      <w:pPr>
        <w:pStyle w:val="Heading2"/>
      </w:pPr>
      <w:r>
        <w:t>The independence concern — and how V4 answers it without splitting the PMO</w:t>
      </w:r>
    </w:p>
    <w:p>
      <w:pPr>
        <w:spacing w:after="160" w:before="0"/>
      </w:pPr>
      <w:r>
        <w:rPr>
          <w:rFonts w:ascii="Calibri" w:hAnsi="Calibri"/>
          <w:color w:val="1A1A1A"/>
          <w:sz w:val="22"/>
        </w:rPr>
        <w:t>The legitimate argument for a separate PMO is objectivity: health ratings and gate findings should not be softened by the leader whose portfolio they judge. V4 preserves that objectivity through design rather than through org structure. Note that a structurally “separate” PMO would not actually be independent either — since the Delivery Lead reports to the Practice Lead, everything already rolls up to the same executive one level up. The question is not whether the PMO is ultimately under the Practice Lead (it is, either way); it is whether delivery operations runs as one system or two. V4 keeps it one system and protects objectivity explicitly:</w:t>
      </w:r>
    </w:p>
    <w:p>
      <w:pPr>
        <w:pStyle w:val="ListBullet"/>
        <w:spacing w:after="40"/>
        <w:ind w:left="360"/>
      </w:pPr>
      <w:r>
        <w:rPr>
          <w:rFonts w:ascii="Calibri" w:hAnsi="Calibri"/>
          <w:sz w:val="22"/>
        </w:rPr>
        <w:t>Health ratings remain evidence-based against published green/yellow/red criteria — the PMO Lead assigns them per the framework, even when teams (or the Delivery Lead) disagree with the message. That charter language is unchanged and is the PMO's protected authority.</w:t>
      </w:r>
    </w:p>
    <w:p>
      <w:pPr>
        <w:pStyle w:val="ListBullet"/>
        <w:spacing w:after="40"/>
        <w:ind w:left="360"/>
      </w:pPr>
      <w:r>
        <w:rPr>
          <w:rFonts w:ascii="Calibri" w:hAnsi="Calibri"/>
          <w:sz w:val="22"/>
        </w:rPr>
        <w:t>The Practice Lead independently reviews portfolio health and recovery outcomes through the governance cadence — health reviews, gate outcomes, and red-account reviews — a trust-but-verify layer that sees the PMO's evidence directly.</w:t>
      </w:r>
    </w:p>
    <w:p>
      <w:pPr>
        <w:pStyle w:val="ListBullet"/>
        <w:spacing w:after="40"/>
        <w:ind w:left="360"/>
      </w:pPr>
      <w:r>
        <w:rPr>
          <w:rFonts w:ascii="Calibri" w:hAnsi="Calibri"/>
          <w:sz w:val="22"/>
        </w:rPr>
        <w:t>Red accounts get independent Practice Lead review by rule, not by request.</w:t>
      </w:r>
    </w:p>
    <w:p>
      <w:pPr>
        <w:pStyle w:val="ListBullet"/>
        <w:spacing w:after="40"/>
        <w:ind w:left="360"/>
      </w:pPr>
      <w:r>
        <w:rPr>
          <w:rFonts w:ascii="Calibri" w:hAnsi="Calibri"/>
          <w:sz w:val="22"/>
        </w:rPr>
        <w:t>The PMO's framework authority is intact: standards, gates, RIDAC, change control, and PM capability are strengthened, not diminished — and now operate with a direct line to the leader who can act on what they surface.</w:t>
      </w:r>
    </w:p>
    <w:p>
      <w:pPr>
        <w:spacing w:after="160" w:before="0"/>
      </w:pPr>
      <w:r>
        <w:rPr>
          <w:rFonts w:ascii="Calibri" w:hAnsi="Calibri"/>
          <w:color w:val="1A1A1A"/>
          <w:sz w:val="22"/>
        </w:rPr>
        <w:t>In short: separation is one way to buy objectivity, but it pays for it with execution seams, dual masters, and slower recovery — without delivering true independence, since both paths roll up to the Practice Lead anyway. V4 buys the objectivity with published criteria and independent governance review, and keeps delivery operations whole.</w:t>
      </w:r>
    </w:p>
    <w:p>
      <w:pPr>
        <w:pStyle w:val="Heading1"/>
      </w:pPr>
      <w:r>
        <w:t>3.  Changes by Role — What Each Role Owns, Gains, and Is Accountable For</w:t>
      </w:r>
    </w:p>
    <w:p>
      <w:pPr>
        <w:pStyle w:val="Heading2"/>
      </w:pPr>
      <w:r>
        <w:t>Practice Lead</w:t>
      </w:r>
    </w:p>
    <w:p>
      <w:pPr>
        <w:pStyle w:val="ListBullet"/>
        <w:spacing w:after="40"/>
        <w:ind w:left="360"/>
      </w:pPr>
      <w:r>
        <w:rPr>
          <w:rFonts w:ascii="Calibri" w:hAnsi="Calibri"/>
          <w:sz w:val="22"/>
        </w:rPr>
        <w:t>Ownership recast from “integrated priorities and final cross-functional decisions” to: strategy, P&amp;L, investment priorities, partner and alliance relationships, final rate and margin approval, independent oversight of delivery health, and final arbitration of cross-functional conflicts.</w:t>
      </w:r>
    </w:p>
    <w:p>
      <w:pPr>
        <w:pStyle w:val="ListBullet"/>
        <w:spacing w:after="40"/>
        <w:ind w:left="360"/>
      </w:pPr>
      <w:r>
        <w:rPr>
          <w:rFonts w:ascii="Calibri" w:hAnsi="Calibri"/>
          <w:sz w:val="22"/>
        </w:rPr>
        <w:t>Direct reports simplify to the Operations Lead and the Delivery Lead; the Lead Architect and PMO Lead report through the Delivery Lead. The Practice Lead's independent visibility into standards and portfolio health runs through the governance cadence — health reviews, gate outcomes, red-account reviews — not a second reporting line, since everything already rolls up to the Practice Lead through the Delivery Lead.</w:t>
      </w:r>
    </w:p>
    <w:p>
      <w:pPr>
        <w:pStyle w:val="ListBullet"/>
        <w:spacing w:after="40"/>
        <w:ind w:left="360"/>
      </w:pPr>
      <w:r>
        <w:rPr>
          <w:rFonts w:ascii="Calibri" w:hAnsi="Calibri"/>
          <w:sz w:val="22"/>
        </w:rPr>
        <w:t>Holds the rates-and-margin key on every price and independently reviews every red account.</w:t>
      </w:r>
    </w:p>
    <w:p>
      <w:pPr>
        <w:pStyle w:val="ListBullet"/>
        <w:spacing w:after="40"/>
        <w:ind w:left="360"/>
      </w:pPr>
      <w:r>
        <w:rPr>
          <w:rFonts w:ascii="Calibri" w:hAnsi="Calibri"/>
          <w:sz w:val="22"/>
        </w:rPr>
        <w:t>What the role gains: freedom from operational arbitration, a true verification function over delivery, and undiluted focus on the strategic work only this role can do.</w:t>
      </w:r>
    </w:p>
    <w:p>
      <w:pPr>
        <w:pStyle w:val="Heading2"/>
      </w:pPr>
      <w:r>
        <w:t>Delivery Lead (retitled from “Delivery and CX Lead”)</w:t>
      </w:r>
    </w:p>
    <w:p>
      <w:pPr>
        <w:pStyle w:val="ListBullet"/>
        <w:spacing w:after="40"/>
        <w:ind w:left="360"/>
      </w:pPr>
      <w:r>
        <w:rPr>
          <w:rFonts w:ascii="Calibri" w:hAnsi="Calibri"/>
          <w:sz w:val="22"/>
        </w:rPr>
        <w:t>Named the single point of accountability for delivery outcomes — execution, quality, customer experience, adoption, value, and existing-account growth — answerable to the Practice Lead for the integrated result, with the PMO Lead and Lead Architect reporting to this role.</w:t>
      </w:r>
    </w:p>
    <w:p>
      <w:pPr>
        <w:pStyle w:val="ListBullet"/>
        <w:spacing w:after="40"/>
        <w:ind w:left="360"/>
      </w:pPr>
      <w:r>
        <w:rPr>
          <w:rFonts w:ascii="Calibri" w:hAnsi="Calibri"/>
          <w:sz w:val="22"/>
        </w:rPr>
        <w:t>Holds the deliverability gate on every bid, proposal, change request, and extension; owns pricing strategy and the hours key (rates and margin remain with the Practice Lead).</w:t>
      </w:r>
    </w:p>
    <w:p>
      <w:pPr>
        <w:pStyle w:val="ListBullet"/>
        <w:spacing w:after="40"/>
        <w:ind w:left="360"/>
      </w:pPr>
      <w:r>
        <w:rPr>
          <w:rFonts w:ascii="Calibri" w:hAnsi="Calibri"/>
          <w:sz w:val="22"/>
        </w:rPr>
        <w:t>Sets performance expectations, directs corrective action, makes delivery staffing decisions, and decides recovery actions.</w:t>
      </w:r>
    </w:p>
    <w:p>
      <w:pPr>
        <w:pStyle w:val="ListBullet"/>
        <w:spacing w:after="40"/>
        <w:ind w:left="360"/>
      </w:pPr>
      <w:r>
        <w:rPr>
          <w:rFonts w:ascii="Calibri" w:hAnsi="Calibri"/>
          <w:sz w:val="22"/>
        </w:rPr>
        <w:t>Takes on matching obligations: what the role certifies, it must deliver — misses after certification land here, not on Sales or Pre-Sales; and it owes the functional leads clear priorities, protected decision rights within their charters, and timely decisions. Accountability runs in both directions.</w:t>
      </w:r>
    </w:p>
    <w:p>
      <w:pPr>
        <w:pStyle w:val="ListBullet"/>
        <w:spacing w:after="40"/>
        <w:ind w:left="360"/>
      </w:pPr>
      <w:r>
        <w:rPr>
          <w:rFonts w:ascii="Calibri" w:hAnsi="Calibri"/>
          <w:sz w:val="22"/>
        </w:rPr>
        <w:t>New business-development responsibilities: existing-account expansion, past performance and CPARS as capture assets, key-personnel and orals support, and acceptance of the award-to-execution transition.</w:t>
      </w:r>
    </w:p>
    <w:p>
      <w:pPr>
        <w:pStyle w:val="Heading2"/>
      </w:pPr>
      <w:r>
        <w:t>Sales Representative</w:t>
      </w:r>
    </w:p>
    <w:p>
      <w:pPr>
        <w:pStyle w:val="ListBullet"/>
        <w:spacing w:after="40"/>
        <w:ind w:left="360"/>
      </w:pPr>
      <w:r>
        <w:rPr>
          <w:rFonts w:ascii="Calibri" w:hAnsi="Calibri"/>
          <w:sz w:val="22"/>
        </w:rPr>
        <w:t>New-logo and whitespace ownership is untouched and undisputed; existing-account expansion is sponsored by the Delivery Lead with Sales converting approved opportunities into formal pipeline — each lane clearly owned.</w:t>
      </w:r>
    </w:p>
    <w:p>
      <w:pPr>
        <w:pStyle w:val="ListBullet"/>
        <w:spacing w:after="40"/>
        <w:ind w:left="360"/>
      </w:pPr>
      <w:r>
        <w:rPr>
          <w:rFonts w:ascii="Calibri" w:hAnsi="Calibri"/>
          <w:sz w:val="22"/>
        </w:rPr>
        <w:t>All pricing — including verbal ranges — routes through the Delivery Lead.</w:t>
      </w:r>
    </w:p>
    <w:p>
      <w:pPr>
        <w:pStyle w:val="ListBullet"/>
        <w:spacing w:after="40"/>
        <w:ind w:left="360"/>
      </w:pPr>
      <w:r>
        <w:rPr>
          <w:rFonts w:ascii="Calibri" w:hAnsi="Calibri"/>
          <w:sz w:val="22"/>
        </w:rPr>
        <w:t>What the role gains: protection. Once the Delivery Lead certifies a bid, delivery risk transfers to Delivery; Sales is no longer exposed to commitments it had no authority to shape, and pricing discipline stops deals from being un-won later by an undeliverable number.</w:t>
      </w:r>
    </w:p>
    <w:p>
      <w:pPr>
        <w:pStyle w:val="Heading2"/>
      </w:pPr>
      <w:r>
        <w:t>Technical Pre-Sales / Solution Architect</w:t>
      </w:r>
    </w:p>
    <w:p>
      <w:pPr>
        <w:pStyle w:val="ListBullet"/>
        <w:spacing w:after="40"/>
        <w:ind w:left="360"/>
      </w:pPr>
      <w:r>
        <w:rPr>
          <w:rFonts w:ascii="Calibri" w:hAnsi="Calibri"/>
          <w:sz w:val="22"/>
        </w:rPr>
        <w:t>Owns the pre-award technical solution, demos, and proposal content as before; estimates are explicitly draft LOE input, with final hours owned by the Delivery Lead.</w:t>
      </w:r>
    </w:p>
    <w:p>
      <w:pPr>
        <w:pStyle w:val="ListBullet"/>
        <w:spacing w:after="40"/>
        <w:ind w:left="360"/>
      </w:pPr>
      <w:r>
        <w:rPr>
          <w:rFonts w:ascii="Calibri" w:hAnsi="Calibri"/>
          <w:sz w:val="22"/>
        </w:rPr>
        <w:t>No bid is submitted without the Delivery Lead's deliverability certification.</w:t>
      </w:r>
    </w:p>
    <w:p>
      <w:pPr>
        <w:pStyle w:val="ListBullet"/>
        <w:spacing w:after="40"/>
        <w:ind w:left="360"/>
      </w:pPr>
      <w:r>
        <w:rPr>
          <w:rFonts w:ascii="Calibri" w:hAnsi="Calibri"/>
          <w:sz w:val="22"/>
        </w:rPr>
        <w:t>What the role gains: protection from post-award blame. The draft-LOE boundary means a pre-sales estimate can never be weaponized as a delivery commitment; once certified, deliverability is Delivery's accountability — Pre-Sales answers for solution quality, not execution outcomes.</w:t>
      </w:r>
    </w:p>
    <w:p>
      <w:pPr>
        <w:pStyle w:val="Heading2"/>
      </w:pPr>
      <w:r>
        <w:t>Lead Architect</w:t>
      </w:r>
    </w:p>
    <w:p>
      <w:pPr>
        <w:pStyle w:val="ListBullet"/>
        <w:spacing w:after="40"/>
        <w:ind w:left="360"/>
      </w:pPr>
      <w:r>
        <w:rPr>
          <w:rFonts w:ascii="Calibri" w:hAnsi="Calibri"/>
          <w:sz w:val="22"/>
        </w:rPr>
        <w:t>Reports to the Delivery Lead; design authority and technical standards are retained in full, with architecture and technical-quality findings reviewed with the Practice Lead through the governance cadence — preserving an independent technical voice.</w:t>
      </w:r>
    </w:p>
    <w:p>
      <w:pPr>
        <w:pStyle w:val="ListBullet"/>
        <w:spacing w:after="40"/>
        <w:ind w:left="360"/>
      </w:pPr>
      <w:r>
        <w:rPr>
          <w:rFonts w:ascii="Calibri" w:hAnsi="Calibri"/>
          <w:sz w:val="22"/>
        </w:rPr>
        <w:t>Design exceptions with material cost, schedule, or customer impact are approved jointly with the Delivery Lead — neither role approves alone, so the Architect cannot be overridden on technical grounds any more than the Delivery Lead can be bypassed on delivery grounds.</w:t>
      </w:r>
    </w:p>
    <w:p>
      <w:pPr>
        <w:pStyle w:val="ListBullet"/>
        <w:spacing w:after="40"/>
        <w:ind w:left="360"/>
      </w:pPr>
      <w:r>
        <w:rPr>
          <w:rFonts w:ascii="Calibri" w:hAnsi="Calibri"/>
          <w:sz w:val="22"/>
        </w:rPr>
        <w:t>What the role gains: a direct line to the one leader who can act immediately on technical risk, and a joint-key veto on material exceptions that V3 never made explicit.</w:t>
      </w:r>
    </w:p>
    <w:p>
      <w:pPr>
        <w:pStyle w:val="Heading2"/>
      </w:pPr>
      <w:r>
        <w:t>PMO Lead</w:t>
      </w:r>
    </w:p>
    <w:p>
      <w:pPr>
        <w:pStyle w:val="ListBullet"/>
        <w:spacing w:after="40"/>
        <w:ind w:left="360"/>
      </w:pPr>
      <w:r>
        <w:rPr>
          <w:rFonts w:ascii="Calibri" w:hAnsi="Calibri"/>
          <w:sz w:val="22"/>
        </w:rPr>
        <w:t>Reports to the Delivery Lead (see Section 2 for the full reasoning); framework, RIDAC, gates, change control, and PM capability are unchanged and protected.</w:t>
      </w:r>
    </w:p>
    <w:p>
      <w:pPr>
        <w:pStyle w:val="ListBullet"/>
        <w:spacing w:after="40"/>
        <w:ind w:left="360"/>
      </w:pPr>
      <w:r>
        <w:rPr>
          <w:rFonts w:ascii="Calibri" w:hAnsi="Calibri"/>
          <w:sz w:val="22"/>
        </w:rPr>
        <w:t>“Recovery governance” becomes “recovery-process administration” — the PMO runs the recovery process; the Delivery Lead decides recovery actions; the Practice Lead independently reviews red accounts.</w:t>
      </w:r>
    </w:p>
    <w:p>
      <w:pPr>
        <w:pStyle w:val="ListBullet"/>
        <w:spacing w:after="40"/>
        <w:ind w:left="360"/>
      </w:pPr>
      <w:r>
        <w:rPr>
          <w:rFonts w:ascii="Calibri" w:hAnsi="Calibri"/>
          <w:sz w:val="22"/>
        </w:rPr>
        <w:t>What the role gains: evidence-based health ratings are now explicitly protected charter authority regardless of reporting line, with a guaranteed independent audience (the Practice Lead's governance review) — and a direct line to the leader who can act on findings the same day.</w:t>
      </w:r>
    </w:p>
    <w:p>
      <w:pPr>
        <w:pStyle w:val="Heading2"/>
      </w:pPr>
      <w:r>
        <w:t>Operations Lead</w:t>
      </w:r>
    </w:p>
    <w:p>
      <w:pPr>
        <w:pStyle w:val="ListBullet"/>
        <w:spacing w:after="40"/>
        <w:ind w:left="360"/>
      </w:pPr>
      <w:r>
        <w:rPr>
          <w:rFonts w:ascii="Calibri" w:hAnsi="Calibri"/>
          <w:sz w:val="22"/>
        </w:rPr>
        <w:t>Forecast ownership clarified to process, systems, and consolidation; the Delivery Lead owns delivery forecast content and answers for its accuracy.</w:t>
      </w:r>
    </w:p>
    <w:p>
      <w:pPr>
        <w:pStyle w:val="ListBullet"/>
        <w:spacing w:after="40"/>
        <w:ind w:left="360"/>
      </w:pPr>
      <w:r>
        <w:rPr>
          <w:rFonts w:ascii="Calibri" w:hAnsi="Calibri"/>
          <w:sz w:val="22"/>
        </w:rPr>
        <w:t>“Pricing coordination” clarified to pricing mechanics — rate cards, templates, and routing; every pricing request routes through the Delivery Lead. Operations makes no pricing decisions — and is no longer exposed when a price goes wrong.</w:t>
      </w:r>
    </w:p>
    <w:p>
      <w:pPr>
        <w:pStyle w:val="ListBullet"/>
        <w:spacing w:after="40"/>
        <w:ind w:left="360"/>
      </w:pPr>
      <w:r>
        <w:rPr>
          <w:rFonts w:ascii="Calibri" w:hAnsi="Calibri"/>
          <w:sz w:val="22"/>
        </w:rPr>
        <w:t>Administers the staffing process; the Delivery Lead makes delivery staffing decisions, and the Practice Lead resolves cross-practice priority conflicts.</w:t>
      </w:r>
    </w:p>
    <w:p>
      <w:pPr>
        <w:pStyle w:val="ListBullet"/>
        <w:spacing w:after="40"/>
        <w:ind w:left="360"/>
      </w:pPr>
      <w:r>
        <w:rPr>
          <w:rFonts w:ascii="Calibri" w:hAnsi="Calibri"/>
          <w:sz w:val="22"/>
        </w:rPr>
        <w:t>What the role gains: a cleaner charter with decision-ownership ambiguity removed, and reinforced protection from routine PM assignments that V3 already flagged as unsustainable.</w:t>
      </w:r>
    </w:p>
    <w:p>
      <w:pPr>
        <w:pStyle w:val="Heading1"/>
      </w:pPr>
      <w:r>
        <w:t>4.  Structural Changes to the Document</w:t>
      </w:r>
    </w:p>
    <w:p>
      <w:pPr>
        <w:pStyle w:val="ListBullet"/>
        <w:spacing w:after="40"/>
        <w:ind w:left="360"/>
      </w:pPr>
      <w:r>
        <w:rPr>
          <w:rFonts w:ascii="Calibri" w:hAnsi="Calibri"/>
          <w:sz w:val="22"/>
        </w:rPr>
        <w:t>The Executive Assessment domain rule is rewritten to state the delivery cluster in one sentence, encode the deliverability gate and the two-key pricing rule at the model level, and state the shared-but-clear accountability principle: every function owns its domain; each decision has exactly one owner.</w:t>
      </w:r>
    </w:p>
    <w:p>
      <w:pPr>
        <w:pStyle w:val="ListBullet"/>
        <w:spacing w:after="40"/>
        <w:ind w:left="360"/>
      </w:pPr>
      <w:r>
        <w:rPr>
          <w:rFonts w:ascii="Calibri" w:hAnsi="Calibri"/>
          <w:sz w:val="22"/>
        </w:rPr>
        <w:t>Two rows are added to the Cross-Role Ownership Matrix: “Bid deliverability certification” and “Pricing strategy, hours, and rates.”</w:t>
      </w:r>
    </w:p>
    <w:p>
      <w:pPr>
        <w:pStyle w:val="ListBullet"/>
        <w:spacing w:after="40"/>
        <w:ind w:left="360"/>
      </w:pPr>
      <w:r>
        <w:rPr>
          <w:rFonts w:ascii="Calibri" w:hAnsi="Calibri"/>
          <w:sz w:val="22"/>
        </w:rPr>
        <w:t>Related matrix cells (architecture exceptions, forecast content, delivery staffing) are updated to match the charters.</w:t>
      </w:r>
    </w:p>
    <w:p>
      <w:pPr>
        <w:pStyle w:val="ListBullet"/>
        <w:spacing w:after="40"/>
        <w:ind w:left="360"/>
      </w:pPr>
      <w:r>
        <w:rPr>
          <w:rFonts w:ascii="Calibri" w:hAnsi="Calibri"/>
          <w:sz w:val="22"/>
        </w:rPr>
        <w:t>The role is retitled “Delivery Lead” throughout, including the FTE assessment.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net effect: every leader owns their domain outright. The Delivery Lead integrates delivery and answers to the Practice Lead for its outcomes; the Practice Lead owns the business and verifies independently; the functional leads hold protected authority within their charters. Accountability is shared across the team — and never ambiguous.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R&amp;R V4 Revision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