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— TEMPLATE TEST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Test Document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Confirms the ECS canonical brand renders end-to-end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Practice Lead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Internal Governance Operating Guide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TEST-01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1.  Purpose of This Test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document verifies that the ECS Federal branded Word template builds correctly using EcsDocument from ecs_template.py.</w:t>
      </w:r>
    </w:p>
    <w:p>
      <w:pPr>
        <w:pStyle w:val="Heading2"/>
      </w:pPr>
      <w:r>
        <w:t>What It Checks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Cover page, header logo, and teal divider render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Heading styles (H1/H2/H3) apply the navy/blue palette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Tables use navy header rows with alternating shading</w:t>
      </w:r>
    </w:p>
    <w:p>
      <w:pPr>
        <w:pStyle w:val="Heading3"/>
      </w:pPr>
      <w:r>
        <w:t>Sample 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Expected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Header logo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Everforth logo top-left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Footer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Internal Use Only + page numbers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Callout box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Blue-bordered highlight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OK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you can read this in ECS branding, the template pipeline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