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CLIENT COMMUNICATION PLAN</w:t>
      </w:r>
    </w:p>
    <w:p>
      <w:pPr>
        <w:spacing w:before="0" w:after="40"/>
      </w:pPr>
      <w:r>
        <w:rPr>
          <w:rFonts w:ascii="Calibri" w:hAnsi="Calibri"/>
          <w:b/>
          <w:color w:val="0B1F3A"/>
          <w:sz w:val="56"/>
        </w:rPr>
        <w:t>Modernizing the Core</w:t>
      </w:r>
    </w:p>
    <w:p>
      <w:pPr>
        <w:spacing w:before="0" w:after="40"/>
      </w:pPr>
      <w:r>
        <w:rPr>
          <w:rFonts w:ascii="Calibri" w:hAnsi="Calibri"/>
          <w:b/>
          <w:color w:val="0B1F3A"/>
          <w:sz w:val="56"/>
        </w:rPr>
        <w:t>Communication Plan</w:t>
      </w:r>
    </w:p>
    <w:p>
      <w:pPr>
        <w:spacing w:before="120" w:after="400"/>
      </w:pPr>
      <w:r>
        <w:rPr>
          <w:rFonts w:ascii="Calibri" w:hAnsi="Calibri"/>
          <w:i/>
          <w:color w:val="0D9488"/>
          <w:sz w:val="24"/>
        </w:rPr>
        <w:t>How we will stay connected across your 18-week reimplementation — every touchpoint, owner, and cadence.</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Connection — Executive Sponsor, Product Owner, Project Manager, Technical Lead, Process Owners</w:t>
      </w:r>
    </w:p>
    <w:p>
      <w:pPr>
        <w:spacing w:after="40"/>
      </w:pPr>
      <w:r>
        <w:rPr>
          <w:rFonts w:ascii="Calibri" w:hAnsi="Calibri"/>
          <w:b w:val="0"/>
          <w:i w:val="0"/>
          <w:color w:val="475569"/>
          <w:sz w:val="20"/>
        </w:rPr>
        <w:t>Companion to: Client Onboarding Guide · Governance Charter · 18-Week Project Plan · Weekly Status Report</w:t>
      </w:r>
    </w:p>
    <w:p>
      <w:pPr>
        <w:spacing w:after="80"/>
      </w:pPr>
      <w:r>
        <w:rPr>
          <w:rFonts w:ascii="Calibri" w:hAnsi="Calibri"/>
          <w:b w:val="0"/>
          <w:i w:val="0"/>
          <w:color w:val="475569"/>
          <w:sz w:val="20"/>
        </w:rPr>
        <w:t>Document ID: CLT-CONN-ONB-02     ·     Version: 1.0     ·     Status: Draft</w:t>
      </w:r>
    </w:p>
    <w:p>
      <w:pPr>
        <w:spacing w:after="280"/>
      </w:pPr>
      <w:r>
        <w:rPr>
          <w:rFonts w:ascii="Calibri" w:hAnsi="Calibri"/>
          <w:b w:val="0"/>
          <w:i/>
          <w:color w:val="475569"/>
          <w:sz w:val="20"/>
        </w:rPr>
        <w:t>ECS Federal · ServiceNow Practice · Confidential</w:t>
      </w:r>
    </w:p>
    <w:p>
      <w:r>
        <w:br w:type="page"/>
      </w:r>
    </w:p>
    <w:p>
      <w:pPr>
        <w:pStyle w:val="Heading1"/>
      </w:pPr>
      <w:r>
        <w:t>1.  Purpose</w:t>
      </w:r>
    </w:p>
    <w:p>
      <w:pPr>
        <w:spacing w:after="160" w:before="0"/>
      </w:pPr>
      <w:r>
        <w:rPr>
          <w:rFonts w:ascii="Calibri" w:hAnsi="Calibri"/>
          <w:color w:val="1A1A1A"/>
          <w:sz w:val="22"/>
        </w:rPr>
        <w:t>This plan describes every regular communication Connection will receive from the ECS team across the 18-week Phase 1 engagement — what it covers, how often it arrives, who leads it, and who from your organization should be in the room. Our goal is that your leadership never has to ask “where do things stand?” — the answer is always already in your inbox or on your calendar.</w:t>
      </w:r>
    </w:p>
    <w:p>
      <w:pPr>
        <w:spacing w:after="160" w:before="0"/>
      </w:pPr>
      <w:r>
        <w:rPr>
          <w:rFonts w:ascii="Calibri" w:hAnsi="Calibri"/>
          <w:color w:val="1A1A1A"/>
          <w:sz w:val="22"/>
        </w:rPr>
        <w:t>During Sprint 0 kickoff we will walk through this plan together, confirm the cadence fits Connection's rhythm, and complete the contact roster in Section 6. Once agreed, this plan becomes the standing reference for both teams, alongside the Governance Charter.</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Nothing in this cadence is extra ceremony. Each touchpoint exists to surface decisions early, keep the baseline protected, and give Connection leadership a simple, reliable view of progress.</w:t>
      </w:r>
    </w:p>
    <w:p>
      <w:pPr>
        <w:pStyle w:val="Heading1"/>
      </w:pPr>
      <w:r>
        <w:t>2.  The Engagement Rhythm</w:t>
      </w:r>
    </w:p>
    <w:p>
      <w:pPr>
        <w:spacing w:after="160" w:before="0"/>
      </w:pPr>
      <w:r>
        <w:rPr>
          <w:rFonts w:ascii="Calibri" w:hAnsi="Calibri"/>
          <w:color w:val="1A1A1A"/>
          <w:sz w:val="22"/>
        </w:rPr>
        <w:t>Phase 1 runs 18 weeks in two-week sprints (Sprints 0–8), organized into four stages. Communications follow this rhythm — workshop-heavy in the build stages, testing- and readiness-focused as we approach Go-Live at Week 16.</w:t>
      </w:r>
    </w:p>
    <w:tbl>
      <w:tblPr>
        <w:tblW w:type="dxa" w:w="9360"/>
        <w:jc w:val="left"/>
        <w:tblLayout w:type="fixed"/>
        <w:tblLook w:firstColumn="1" w:firstRow="1" w:lastColumn="0" w:lastRow="0" w:noHBand="0" w:noVBand="1" w:val="04A0"/>
      </w:tblPr>
      <w:tblGrid>
        <w:gridCol w:w="2592"/>
        <w:gridCol w:w="2160"/>
        <w:gridCol w:w="4608"/>
      </w:tblGrid>
      <w:tr>
        <w:trPr>
          <w:tblHeader/>
        </w:trPr>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Stage</w:t>
            </w:r>
          </w:p>
        </w:tc>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Sprints / Weeks</w:t>
            </w:r>
          </w:p>
        </w:tc>
        <w:tc>
          <w:tcPr>
            <w:tcW w:type="dxa" w:w="46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Communication Focus</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Stage 1 — Initiate &amp; Plan</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Sprints 0–2 · Wks 1–6</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Kickoff, governance setup, workshop invitations, data collection via accelerator packs, dependency tracking.</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Stage 2 — Execute</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Sprints 3–5 · Wks 7–12</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Workshop and demo cadence at full tempo; council reviews of any requested deviations; weekly status discipline.</w:t>
            </w:r>
          </w:p>
        </w:tc>
      </w:tr>
      <w:tr>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Stage 3 — Deliver</w:t>
            </w:r>
          </w:p>
        </w:tc>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Sprints 6–7 · Wks 13–16</w:t>
            </w:r>
          </w:p>
        </w:tc>
        <w:tc>
          <w:tcPr>
            <w:tcW w:type="dxa" w:w="46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SIT/UAT coordination, training and knowledge transfer scheduling, Go-Live readiness reviews, cutover go/no-go.</w:t>
            </w:r>
          </w:p>
        </w:tc>
      </w:tr>
      <w:tr>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Stage 4 — Close</w:t>
            </w:r>
          </w:p>
        </w:tc>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8 · Wks 17–18</w:t>
            </w:r>
          </w:p>
        </w:tc>
        <w:tc>
          <w:tcPr>
            <w:tcW w:type="dxa" w:w="46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Hypercare status updates, stabilization triage, closeout and lessons learned, 12-month roadmap discussion.</w:t>
            </w:r>
          </w:p>
        </w:tc>
      </w:tr>
    </w:tbl>
    <w:p>
      <w:pPr>
        <w:spacing w:after="40"/>
      </w:pPr>
    </w:p>
    <w:p>
      <w:pPr>
        <w:pStyle w:val="Heading1"/>
      </w:pPr>
      <w:r>
        <w:t>3.  Communication Cadence</w:t>
      </w:r>
    </w:p>
    <w:p>
      <w:pPr>
        <w:spacing w:after="160" w:before="0"/>
      </w:pPr>
      <w:r>
        <w:rPr>
          <w:rFonts w:ascii="Calibri" w:hAnsi="Calibri"/>
          <w:color w:val="1A1A1A"/>
          <w:sz w:val="22"/>
        </w:rPr>
        <w:t>The table below is the complete cadence for the engagement. “Led by” names who initiates and runs each communication; what Connection can expect is described in the final column.</w:t>
      </w:r>
    </w:p>
    <w:tbl>
      <w:tblPr>
        <w:tblW w:type="dxa" w:w="9360"/>
        <w:jc w:val="left"/>
        <w:tblLayout w:type="fixed"/>
        <w:tblLook w:firstColumn="1" w:firstRow="1" w:lastColumn="0" w:lastRow="0" w:noHBand="0" w:noVBand="1" w:val="04A0"/>
      </w:tblPr>
      <w:tblGrid>
        <w:gridCol w:w="1872"/>
        <w:gridCol w:w="1368"/>
        <w:gridCol w:w="1512"/>
        <w:gridCol w:w="1296"/>
        <w:gridCol w:w="3311"/>
      </w:tblGrid>
      <w:tr>
        <w:trPr>
          <w:tblHeader/>
        </w:trPr>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Communication</w:t>
            </w:r>
          </w:p>
        </w:tc>
        <w:tc>
          <w:tcPr>
            <w:tcW w:type="dxa" w:w="13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Frequency</w:t>
            </w:r>
          </w:p>
        </w:tc>
        <w:tc>
          <w:tcPr>
            <w:tcW w:type="dxa" w:w="15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Led By</w:t>
            </w:r>
          </w:p>
        </w:tc>
        <w:tc>
          <w:tcPr>
            <w:tcW w:type="dxa" w:w="129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Format</w:t>
            </w:r>
          </w:p>
        </w:tc>
        <w:tc>
          <w:tcPr>
            <w:tcW w:type="dxa" w:w="33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You Can Expect</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Weekly Status Report</w:t>
            </w:r>
          </w:p>
        </w:tc>
        <w:tc>
          <w:tcPr>
            <w:tcW w:type="dxa" w:w="13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Weekly (Friday)</w:t>
            </w:r>
          </w:p>
        </w:tc>
        <w:tc>
          <w:tcPr>
            <w:tcW w:type="dxa" w:w="15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Engagement Manager</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Email</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One-page snapshot for your Sponsor, PM, and process owners: RAG status by workstream, progress against the sprint plan, decisions needed, and risks with owners.</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Sponsor Sync + Executive Health Dashboard</w:t>
            </w:r>
          </w:p>
        </w:tc>
        <w:tc>
          <w:tcPr>
            <w:tcW w:type="dxa" w:w="13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Every 2 weeks</w:t>
            </w:r>
          </w:p>
        </w:tc>
        <w:tc>
          <w:tcPr>
            <w:tcW w:type="dxa" w:w="15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 + Practice Lead (periodic)</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45–60-min meeting</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Working session with your Executive Sponsor anchored by the one-page Executive Health Dashboard: sprint health, story completion, deliverables on track, and anything needing executive attention.</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Demo</w:t>
            </w:r>
          </w:p>
        </w:tc>
        <w:tc>
          <w:tcPr>
            <w:tcW w:type="dxa" w:w="13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End of each sprint (every 2 weeks)</w:t>
            </w:r>
          </w:p>
        </w:tc>
        <w:tc>
          <w:tcPr>
            <w:tcW w:type="dxa" w:w="15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BPC/BA (Scrum Master) + ECS EM</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60-min meeting</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Working functionality demonstrated live at the end of every sprint — your Product Owner and process owners confirm what was built matches what was decided. All interested stakeholders welcome.</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Planning &amp; Stand-ups</w:t>
            </w:r>
          </w:p>
        </w:tc>
        <w:tc>
          <w:tcPr>
            <w:tcW w:type="dxa" w:w="13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Per sprint / daily during build</w:t>
            </w:r>
          </w:p>
        </w:tc>
        <w:tc>
          <w:tcPr>
            <w:tcW w:type="dxa" w:w="15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BPC/BA (Scrum Master)</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Ceremonies</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Your Product Owner and PM join sprint planning; daily 15-minute stand-ups are open to your PM. This is where the day-to-day rhythm lives.</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Workshop Invitations</w:t>
            </w:r>
          </w:p>
        </w:tc>
        <w:tc>
          <w:tcPr>
            <w:tcW w:type="dxa" w:w="13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 sprint schedule (Stages 1–2)</w:t>
            </w:r>
          </w:p>
        </w:tc>
        <w:tc>
          <w:tcPr>
            <w:tcW w:type="dxa" w:w="15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Engagement Manager</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Calendar invitation</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Invitations to your process owners and SMEs for each module's design workshops, with pre-reads ahead of every session so no one walks in cold.</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Customization Council</w:t>
            </w:r>
          </w:p>
        </w:tc>
        <w:tc>
          <w:tcPr>
            <w:tcW w:type="dxa" w:w="13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 needed (typically bi-weekly)</w:t>
            </w:r>
          </w:p>
        </w:tc>
        <w:tc>
          <w:tcPr>
            <w:tcW w:type="dxa" w:w="15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 (chair)</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60-min meeting</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Review of any request that deviates from the baseline, using the Governance Triage &amp; RAID log. Every deviation gets an OOTB alternative presented first, and Sponsor sign-off before any custom work.</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Dependency Check</w:t>
            </w:r>
          </w:p>
        </w:tc>
        <w:tc>
          <w:tcPr>
            <w:tcW w:type="dxa" w:w="13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Weekly (within status cadence)</w:t>
            </w:r>
          </w:p>
        </w:tc>
        <w:tc>
          <w:tcPr>
            <w:tcW w:type="dxa" w:w="15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 + Connection PM</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Working review</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Review of the Customer Dependency Tracker — the data, access, and decisions Connection owns, with timing and impact-if-late, so nothing surprises either team.</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Coordination</w:t>
            </w:r>
          </w:p>
        </w:tc>
        <w:tc>
          <w:tcPr>
            <w:tcW w:type="dxa" w:w="13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Sprints 6–7</w:t>
            </w:r>
          </w:p>
        </w:tc>
        <w:tc>
          <w:tcPr>
            <w:tcW w:type="dxa" w:w="15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BPC/BA + Product Owner</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Sessions + email</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Test scripts, the UAT Guidebook, tester scheduling, and daily defect triage during UAT cycles.</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Go-Live Go/No-Go</w:t>
            </w:r>
          </w:p>
        </w:tc>
        <w:tc>
          <w:tcPr>
            <w:tcW w:type="dxa" w:w="13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 15–16</w:t>
            </w:r>
          </w:p>
        </w:tc>
        <w:tc>
          <w:tcPr>
            <w:tcW w:type="dxa" w:w="15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 + Executive Sponsor + Product Owner</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Gated review</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Joint review of the Go-Live Readiness Checklist — gated criteria across configuration, data, integrations, testing, training, and support before cutover proceeds.</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Go-Live Announcement</w:t>
            </w:r>
          </w:p>
        </w:tc>
        <w:tc>
          <w:tcPr>
            <w:tcW w:type="dxa" w:w="13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Week 16</w:t>
            </w:r>
          </w:p>
        </w:tc>
        <w:tc>
          <w:tcPr>
            <w:tcW w:type="dxa" w:w="15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Connection Comms + ECS EM</w:t>
            </w:r>
          </w:p>
        </w:tc>
        <w:tc>
          <w:tcPr>
            <w:tcW w:type="dxa" w:w="129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Email / intranet</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Jointly drafted announcement to all staff: what is changing, when, and where to get help. ECS drafts; Connection owns the send.</w:t>
            </w:r>
          </w:p>
        </w:tc>
      </w:tr>
      <w:tr>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Hypercare Status Update</w:t>
            </w:r>
          </w:p>
        </w:tc>
        <w:tc>
          <w:tcPr>
            <w:tcW w:type="dxa" w:w="13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Weekly (Wks 17–18)</w:t>
            </w:r>
          </w:p>
        </w:tc>
        <w:tc>
          <w:tcPr>
            <w:tcW w:type="dxa" w:w="15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w:t>
            </w:r>
          </w:p>
        </w:tc>
        <w:tc>
          <w:tcPr>
            <w:tcW w:type="dxa" w:w="129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Email + triage</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Stabilization summary for your PM, Technical Lead, and Platform Admin: ticket trends, open items, and progress toward formal closeout and the 12-month roadmap.</w:t>
            </w:r>
          </w:p>
        </w:tc>
      </w:tr>
    </w:tbl>
    <w:p>
      <w:pPr>
        <w:spacing w:after="40"/>
      </w:pPr>
    </w:p>
    <w:p>
      <w:pPr>
        <w:pStyle w:val="Heading1"/>
      </w:pPr>
      <w:r>
        <w:t>4.  Communication Roles and Responsibilities</w:t>
      </w:r>
    </w:p>
    <w:p>
      <w:pPr>
        <w:spacing w:after="160" w:before="0"/>
      </w:pPr>
      <w:r>
        <w:rPr>
          <w:rFonts w:ascii="Calibri" w:hAnsi="Calibri"/>
          <w:color w:val="1A1A1A"/>
          <w:sz w:val="22"/>
        </w:rPr>
        <w:t>Clear ownership keeps the cadence lightweight. These are the standing communication responsibilities on each side of the partnership, consistent with the Governance Charter and RACI Matrix.</w:t>
      </w:r>
    </w:p>
    <w:p>
      <w:pPr>
        <w:pStyle w:val="Heading2"/>
      </w:pPr>
      <w:r>
        <w:t>Connection team</w:t>
      </w:r>
    </w:p>
    <w:tbl>
      <w:tblPr>
        <w:tblW w:type="dxa" w:w="9360"/>
        <w:jc w:val="left"/>
        <w:tblLayout w:type="fixed"/>
        <w:tblLook w:firstColumn="1" w:firstRow="1" w:lastColumn="0" w:lastRow="0" w:noHBand="0" w:noVBand="1" w:val="04A0"/>
      </w:tblPr>
      <w:tblGrid>
        <w:gridCol w:w="2448"/>
        <w:gridCol w:w="6912"/>
      </w:tblGrid>
      <w:tr>
        <w:trPr>
          <w:tblHeader/>
        </w:trPr>
        <w:tc>
          <w:tcPr>
            <w:tcW w:type="dxa" w:w="24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69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Communication Responsibility</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Executive Sponsor</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Attends the bi-weekly Sponsor Sync; signs off on any approved deviation from the baseline; makes or delegates escalated decisions within two business days.</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Product Owner</w:t>
            </w:r>
          </w:p>
        </w:tc>
        <w:tc>
          <w:tcPr>
            <w:tcW w:type="dxa" w:w="69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Attends sprint planning and every sprint demo; approves acceptance criteria before build and confirms Definition of Done at close; first voice on scope questions.</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Project Manager</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Day-to-day counterpart to the ECS Engagement Manager; joins stand-ups as desired; keeps the Dependency Tracker current on Connection-owned items; distributes communications internally.</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Technical Lead</w:t>
            </w:r>
          </w:p>
        </w:tc>
        <w:tc>
          <w:tcPr>
            <w:tcW w:type="dxa" w:w="69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Reviews architecture and integration communications; attends cutover planning; first technical point of contact for escalations on your side.</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Process Owners &amp; SMEs</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Attend the workshops and demos for their process areas; respond to decision requests within the agreed turnaround (typically two business days).</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UAT Testers</w:t>
            </w:r>
          </w:p>
        </w:tc>
        <w:tc>
          <w:tcPr>
            <w:tcW w:type="dxa" w:w="69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Participate in UAT cycles (Sprints 6–7) using the UAT Guidebook; log defects promptly with reproduction steps.</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Platform Admin</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Attends Admin knowledge-transfer sessions and Hypercare triage; receives the Administrator Guide &amp; KT materials at Go-Live.</w:t>
            </w:r>
          </w:p>
        </w:tc>
      </w:tr>
    </w:tbl>
    <w:p>
      <w:pPr>
        <w:spacing w:after="40"/>
      </w:pPr>
    </w:p>
    <w:p>
      <w:pPr>
        <w:pStyle w:val="Heading2"/>
      </w:pPr>
      <w:r>
        <w:t>ECS team</w:t>
      </w:r>
    </w:p>
    <w:tbl>
      <w:tblPr>
        <w:tblW w:type="dxa" w:w="9360"/>
        <w:jc w:val="left"/>
        <w:tblLayout w:type="fixed"/>
        <w:tblLook w:firstColumn="1" w:firstRow="1" w:lastColumn="0" w:lastRow="0" w:noHBand="0" w:noVBand="1" w:val="04A0"/>
      </w:tblPr>
      <w:tblGrid>
        <w:gridCol w:w="2448"/>
        <w:gridCol w:w="6912"/>
      </w:tblGrid>
      <w:tr>
        <w:trPr>
          <w:tblHeader/>
        </w:trPr>
        <w:tc>
          <w:tcPr>
            <w:tcW w:type="dxa" w:w="244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69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Communication Responsibility</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Owns the cadence end to end: status reports, Sponsor Syncs, dependency reviews, triage log updates, and escalation management. Chairs the Customization Council. Your single point of contact.</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Solution Architect</w:t>
            </w:r>
          </w:p>
        </w:tc>
        <w:tc>
          <w:tcPr>
            <w:tcW w:type="dxa" w:w="69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Leads architecture and CSDM communications; presents the OOTB alternative for every deviation request; owns technical workshop content.</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BPC/BA (Scrum Master)</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Runs the sprint ceremonies — planning, stand-ups, demos, retros — and owns the sprint-health signals that feed the Executive Health Dashboard; facilitates workshops and UAT coordination.</w:t>
            </w:r>
          </w:p>
        </w:tc>
      </w:tr>
      <w:tr>
        <w:tc>
          <w:tcPr>
            <w:tcW w:type="dxa" w:w="244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Technical Consultant(s)</w:t>
            </w:r>
          </w:p>
        </w:tc>
        <w:tc>
          <w:tcPr>
            <w:tcW w:type="dxa" w:w="69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Support workshops and demos for their build areas; surface build questions through the sprint ceremonies rather than side channels.</w:t>
            </w:r>
          </w:p>
        </w:tc>
      </w:tr>
      <w:tr>
        <w:tc>
          <w:tcPr>
            <w:tcW w:type="dxa" w:w="244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Practice Lead</w:t>
            </w:r>
          </w:p>
        </w:tc>
        <w:tc>
          <w:tcPr>
            <w:tcW w:type="dxa" w:w="69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Engaged at the final escalation tier; joins Sponsor Syncs periodically to independently confirm the engagement is delivering the outcomes Connection expected.</w:t>
            </w:r>
          </w:p>
        </w:tc>
      </w:tr>
    </w:tbl>
    <w:p>
      <w:pPr>
        <w:spacing w:after="40"/>
      </w:pPr>
    </w:p>
    <w:p>
      <w:pPr>
        <w:pStyle w:val="Heading1"/>
      </w:pPr>
      <w:r>
        <w:t>5.  Escalation Path</w:t>
      </w:r>
    </w:p>
    <w:p>
      <w:pPr>
        <w:spacing w:after="160" w:before="0"/>
      </w:pPr>
      <w:r>
        <w:rPr>
          <w:rFonts w:ascii="Calibri" w:hAnsi="Calibri"/>
          <w:color w:val="1A1A1A"/>
          <w:sz w:val="22"/>
        </w:rPr>
        <w:t>Most issues resolve inside the normal cadence. When one cannot, it follows this path — each step has a named owner and a clock, so nothing stalls. Scope and deviation requests are not escalations: they route through the Customization Council and the PCR process.</w:t>
      </w:r>
    </w:p>
    <w:tbl>
      <w:tblPr>
        <w:tblW w:type="dxa" w:w="9359"/>
        <w:jc w:val="left"/>
        <w:tblLayout w:type="fixed"/>
        <w:tblLook w:firstColumn="1" w:firstRow="1" w:lastColumn="0" w:lastRow="0" w:noHBand="0" w:noVBand="1" w:val="04A0"/>
      </w:tblPr>
      <w:tblGrid>
        <w:gridCol w:w="4176"/>
        <w:gridCol w:w="3311"/>
        <w:gridCol w:w="1872"/>
      </w:tblGrid>
      <w:tr>
        <w:trPr>
          <w:tblHeader/>
        </w:trPr>
        <w:tc>
          <w:tcPr>
            <w:tcW w:type="dxa" w:w="417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Step</w:t>
            </w:r>
          </w:p>
        </w:tc>
        <w:tc>
          <w:tcPr>
            <w:tcW w:type="dxa" w:w="33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Who Is Involved</w:t>
            </w:r>
          </w:p>
        </w:tc>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Target Timeframe</w:t>
            </w:r>
          </w:p>
        </w:tc>
      </w:tr>
      <w:tr>
        <w:tc>
          <w:tcPr>
            <w:tcW w:type="dxa" w:w="41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1. Raise at the working level — flag to the BPC/BA (Scrum Master), the ECS Engagement Manager, or your Project Manager</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EM + Connection PM</w:t>
            </w:r>
          </w:p>
        </w:tc>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Same day</w:t>
            </w:r>
          </w:p>
        </w:tc>
      </w:tr>
      <w:tr>
        <w:tc>
          <w:tcPr>
            <w:tcW w:type="dxa" w:w="417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Joint review — the EM and your PM (with the Technical Lead where technical) assess impact and options</w:t>
            </w:r>
          </w:p>
        </w:tc>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ECS EM + Connection PM / Technical Lead</w:t>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2 business days</w:t>
            </w:r>
          </w:p>
        </w:tc>
      </w:tr>
      <w:tr>
        <w:tc>
          <w:tcPr>
            <w:tcW w:type="dxa" w:w="417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Executive resolution — escalated jointly with a written summary and recommendation</w:t>
            </w:r>
          </w:p>
        </w:tc>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ECS Practice Lead + Executive Sponsor</w:t>
            </w:r>
          </w:p>
        </w:tc>
        <w:tc>
          <w:tcPr>
            <w:tcW w:type="dxa" w:w="187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3 business days</w:t>
            </w:r>
          </w:p>
        </w:tc>
      </w:tr>
    </w:tbl>
    <w:p>
      <w:pPr>
        <w:spacing w:after="40"/>
      </w:pPr>
    </w:p>
    <w:p>
      <w:pPr>
        <w:spacing w:after="160" w:before="0"/>
      </w:pPr>
      <w:r>
        <w:rPr>
          <w:rFonts w:ascii="Calibri" w:hAnsi="Calibri"/>
          <w:color w:val="1A1A1A"/>
          <w:sz w:val="22"/>
        </w:rPr>
        <w:t>Escalation is a healthy part of delivery, not a failure signal. Raising an issue early is always the right call, and no escalation will ever be held against the person who raised it.</w:t>
      </w:r>
    </w:p>
    <w:p>
      <w:pPr>
        <w:pStyle w:val="Heading1"/>
      </w:pPr>
      <w:r>
        <w:t>6.  Contact Roster</w:t>
      </w:r>
    </w:p>
    <w:p>
      <w:pPr>
        <w:spacing w:after="160" w:before="0"/>
      </w:pPr>
      <w:r>
        <w:rPr>
          <w:rFonts w:ascii="Calibri" w:hAnsi="Calibri"/>
          <w:color w:val="1A1A1A"/>
          <w:sz w:val="22"/>
        </w:rPr>
        <w:t>Complete this roster at Sprint 0 kickoff and keep it current throughout the engagement. The ECS Engagement Manager maintains the master copy and redistributes it whenever it changes.</w:t>
      </w:r>
    </w:p>
    <w:p>
      <w:pPr>
        <w:pStyle w:val="Heading2"/>
      </w:pPr>
      <w:r>
        <w:t>Connection team</w:t>
      </w:r>
    </w:p>
    <w:tbl>
      <w:tblPr>
        <w:tblW w:type="dxa" w:w="9359"/>
        <w:jc w:val="left"/>
        <w:tblLayout w:type="fixed"/>
        <w:tblLook w:firstColumn="1" w:firstRow="1" w:lastColumn="0" w:lastRow="0" w:noHBand="0" w:noVBand="1" w:val="04A0"/>
      </w:tblPr>
      <w:tblGrid>
        <w:gridCol w:w="1872"/>
        <w:gridCol w:w="1728"/>
        <w:gridCol w:w="2304"/>
        <w:gridCol w:w="1584"/>
        <w:gridCol w:w="1872"/>
      </w:tblGrid>
      <w:tr>
        <w:trPr>
          <w:tblHeader/>
        </w:trPr>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Name</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Email</w:t>
            </w:r>
          </w:p>
        </w:tc>
        <w:tc>
          <w:tcPr>
            <w:tcW w:type="dxa" w:w="15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Phone</w:t>
            </w:r>
          </w:p>
        </w:tc>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Preferred Contact Method</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Executive Sponsor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Product Owner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Project Manager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Technical Lead</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Communications Lead</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Platform Admin</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pStyle w:val="Heading2"/>
      </w:pPr>
      <w:r>
        <w:t>ECS team</w:t>
      </w:r>
    </w:p>
    <w:tbl>
      <w:tblPr>
        <w:tblW w:type="dxa" w:w="9359"/>
        <w:jc w:val="left"/>
        <w:tblLayout w:type="fixed"/>
        <w:tblLook w:firstColumn="1" w:firstRow="1" w:lastColumn="0" w:lastRow="0" w:noHBand="0" w:noVBand="1" w:val="04A0"/>
      </w:tblPr>
      <w:tblGrid>
        <w:gridCol w:w="1872"/>
        <w:gridCol w:w="1728"/>
        <w:gridCol w:w="2304"/>
        <w:gridCol w:w="1584"/>
        <w:gridCol w:w="1872"/>
      </w:tblGrid>
      <w:tr>
        <w:trPr>
          <w:tblHeader/>
        </w:trPr>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Role</w:t>
            </w:r>
          </w:p>
        </w:tc>
        <w:tc>
          <w:tcPr>
            <w:tcW w:type="dxa" w:w="172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Name</w:t>
            </w:r>
          </w:p>
        </w:tc>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Email</w:t>
            </w:r>
          </w:p>
        </w:tc>
        <w:tc>
          <w:tcPr>
            <w:tcW w:type="dxa" w:w="158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Phone</w:t>
            </w:r>
          </w:p>
        </w:tc>
        <w:tc>
          <w:tcPr>
            <w:tcW w:type="dxa" w:w="187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Preferred Contact Method</w:t>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Engagement Manager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Solution Architect</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BPC/BA (Scrum Master)</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Technical Consultant</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r>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Practice Lead</w:t>
            </w:r>
          </w:p>
        </w:tc>
        <w:tc>
          <w:tcPr>
            <w:tcW w:type="dxa" w:w="172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58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c>
          <w:tcPr>
            <w:tcW w:type="dxa" w:w="187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r>
          </w:p>
        </w:tc>
      </w:tr>
    </w:tbl>
    <w:p>
      <w:pPr>
        <w:spacing w:after="40"/>
      </w:pP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Questions about anything in this plan? Your ECS Engagement Manager is the front door — one contact, every topic, always.</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1"/>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60120" cy="178931"/>
                  </a:xfrm>
                  <a:prstGeom prst="rect"/>
                </pic:spPr>
              </pic:pic>
            </a:graphicData>
          </a:graphic>
        </wp:inline>
      </w:drawing>
    </w:r>
    <w:r>
      <w:tab/>
    </w:r>
    <w:r>
      <w:rPr>
        <w:rFonts w:ascii="Calibri" w:hAnsi="Calibri"/>
        <w:color w:val="475569"/>
        <w:spacing w:val="30"/>
        <w:sz w:val="18"/>
      </w:rPr>
      <w:t>Connection · Communication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