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WORKSHOP PRE-READ  ·  KNOWLEDGE MANAGEMENT</w:t>
      </w:r>
    </w:p>
    <w:p>
      <w:pPr>
        <w:spacing w:before="0" w:after="40"/>
      </w:pPr>
      <w:r>
        <w:rPr>
          <w:rFonts w:ascii="Calibri" w:hAnsi="Calibri"/>
          <w:b/>
          <w:color w:val="0B1F3A"/>
          <w:sz w:val="56"/>
        </w:rPr>
        <w:t>Knowledge Management</w:t>
      </w:r>
    </w:p>
    <w:p>
      <w:pPr>
        <w:spacing w:before="0" w:after="40"/>
      </w:pPr>
      <w:r>
        <w:rPr>
          <w:rFonts w:ascii="Calibri" w:hAnsi="Calibri"/>
          <w:b/>
          <w:color w:val="0B1F3A"/>
          <w:sz w:val="56"/>
        </w:rPr>
        <w:t>Workshop Pre-Read</w:t>
      </w:r>
    </w:p>
    <w:p>
      <w:pPr>
        <w:spacing w:before="120" w:after="400"/>
      </w:pPr>
      <w:r>
        <w:rPr>
          <w:rFonts w:ascii="Calibri" w:hAnsi="Calibri"/>
          <w:i/>
          <w:color w:val="0D9488"/>
          <w:sz w:val="24"/>
        </w:rPr>
        <w:t>Turning your team's expertise into a searchable, AI-ready knowledge base</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Knowledge Managers, Service Desk Leadership, Process Owners, Content Owners</w:t>
      </w:r>
    </w:p>
    <w:p>
      <w:pPr>
        <w:spacing w:after="40"/>
      </w:pPr>
      <w:r>
        <w:rPr>
          <w:rFonts w:ascii="Calibri" w:hAnsi="Calibri"/>
          <w:b w:val="0"/>
          <w:i w:val="0"/>
          <w:color w:val="475569"/>
          <w:sz w:val="20"/>
        </w:rPr>
        <w:t>Companion to: Virtual Agent Pre-Read · Now Assist/GenAI Pre-Read</w:t>
      </w:r>
    </w:p>
    <w:p>
      <w:pPr>
        <w:spacing w:after="80"/>
      </w:pPr>
      <w:r>
        <w:rPr>
          <w:rFonts w:ascii="Calibri" w:hAnsi="Calibri"/>
          <w:b w:val="0"/>
          <w:i w:val="0"/>
          <w:color w:val="475569"/>
          <w:sz w:val="20"/>
        </w:rPr>
        <w:t>Document ID: CLT-WP-02g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Document</w:t>
      </w:r>
    </w:p>
    <w:p>
      <w:pPr>
        <w:spacing w:after="160" w:before="0"/>
      </w:pPr>
      <w:r>
        <w:rPr>
          <w:rFonts w:ascii="Calibri" w:hAnsi="Calibri"/>
          <w:color w:val="1A1A1A"/>
          <w:sz w:val="22"/>
        </w:rPr>
        <w:t>This document is your preparation guide for the Knowledge Management workshop. It is designed to be read in 15–20 minutes before we meet, so that our time together is spent on your specifics rather than foundational concepts.</w:t>
      </w:r>
    </w:p>
    <w:p>
      <w:pPr>
        <w:spacing w:after="160" w:before="0"/>
      </w:pPr>
      <w:r>
        <w:rPr>
          <w:rFonts w:ascii="Calibri" w:hAnsi="Calibri"/>
          <w:color w:val="1A1A1A"/>
          <w:sz w:val="22"/>
        </w:rPr>
        <w:t>Knowledge Management is the foundation for your AI strategy on ServiceNow. Virtual Agent uses knowledge articles to answer user questions. Now Assist uses knowledge articles to generate suggested resolutions. The quality and structure of your knowledge base directly determines the quality of your AI outputs. This pre-read prepares you to make the decisions that set that foundation well.</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 are the decision-maker. Our role is to frame the choices, share what we have seen in comparable engagements, and partner with you to implement the approach that fits your organization. Every section below is written with that dynamic in mind.</w:t>
      </w:r>
    </w:p>
    <w:p>
      <w:pPr>
        <w:pStyle w:val="Heading1"/>
      </w:pPr>
      <w:r>
        <w:t>1.  What Is Knowledge Management?</w:t>
      </w:r>
    </w:p>
    <w:p>
      <w:pPr>
        <w:spacing w:after="160" w:before="0"/>
      </w:pPr>
      <w:r>
        <w:rPr>
          <w:rFonts w:ascii="Calibri" w:hAnsi="Calibri"/>
          <w:color w:val="1A1A1A"/>
          <w:sz w:val="22"/>
        </w:rPr>
        <w:t>Knowledge Management in ServiceNow is the process of capturing, structuring, maintaining, and distributing institutional knowledge — primarily as knowledge articles that can be accessed by agents, end users, and AI capabilities. It includes the knowledge base structure, the article authoring and review workflow, the lifecycle management process, and the integration with ServiceNow's search and AI layers.</w:t>
      </w:r>
    </w:p>
    <w:p>
      <w:pPr>
        <w:pStyle w:val="ListBullet"/>
        <w:spacing w:after="40"/>
        <w:ind w:left="360"/>
      </w:pPr>
      <w:r>
        <w:rPr>
          <w:rFonts w:ascii="Calibri" w:hAnsi="Calibri"/>
          <w:sz w:val="22"/>
        </w:rPr>
        <w:t>Knowledge bases — top-level containers (e.g., IT Knowledge Base, HR Knowledge Base)</w:t>
      </w:r>
    </w:p>
    <w:p>
      <w:pPr>
        <w:pStyle w:val="ListBullet"/>
        <w:spacing w:after="40"/>
        <w:ind w:left="360"/>
      </w:pPr>
      <w:r>
        <w:rPr>
          <w:rFonts w:ascii="Calibri" w:hAnsi="Calibri"/>
          <w:sz w:val="22"/>
        </w:rPr>
        <w:t>Knowledge categories — the taxonomy that organizes articles within a knowledge base</w:t>
      </w:r>
    </w:p>
    <w:p>
      <w:pPr>
        <w:pStyle w:val="ListBullet"/>
        <w:spacing w:after="40"/>
        <w:ind w:left="360"/>
      </w:pPr>
      <w:r>
        <w:rPr>
          <w:rFonts w:ascii="Calibri" w:hAnsi="Calibri"/>
          <w:sz w:val="22"/>
        </w:rPr>
        <w:t>Article types — How-To, FAQ, Reference — each with its own template and use pattern</w:t>
      </w:r>
    </w:p>
    <w:p>
      <w:pPr>
        <w:pStyle w:val="ListBullet"/>
        <w:spacing w:after="40"/>
        <w:ind w:left="360"/>
      </w:pPr>
      <w:r>
        <w:rPr>
          <w:rFonts w:ascii="Calibri" w:hAnsi="Calibri"/>
          <w:sz w:val="22"/>
        </w:rPr>
        <w:t>Article lifecycle — Draft → Review → Published → Retired, with configurable review ownership</w:t>
      </w:r>
    </w:p>
    <w:p>
      <w:pPr>
        <w:pStyle w:val="ListBullet"/>
        <w:spacing w:after="40"/>
        <w:ind w:left="360"/>
      </w:pPr>
      <w:r>
        <w:rPr>
          <w:rFonts w:ascii="Calibri" w:hAnsi="Calibri"/>
          <w:sz w:val="22"/>
        </w:rPr>
        <w:t>Search and findability — full-text search, AI-enhanced search, and Virtual Agent integration</w:t>
      </w:r>
    </w:p>
    <w:p>
      <w:pPr>
        <w:pStyle w:val="Heading1"/>
      </w:pPr>
      <w:r>
        <w:t>2.  Why It Matters in Your ServiceNow Journey</w:t>
      </w:r>
    </w:p>
    <w:p>
      <w:pPr>
        <w:spacing w:after="160" w:before="0"/>
      </w:pPr>
      <w:r>
        <w:rPr>
          <w:rFonts w:ascii="Calibri" w:hAnsi="Calibri"/>
          <w:color w:val="1A1A1A"/>
          <w:sz w:val="22"/>
        </w:rPr>
        <w:t>Most organizations have institutional knowledge distributed across email threads, SharePoint pages, shared drives, and individual experts' heads. ServiceNow Knowledge Management does not eliminate that — it gives you a structured home for the knowledge that matters for service delivery, and connects it directly to the AI capabilities that amplify its value. An article published in ServiceNow is automatically available to Virtual Agent topics, Now Assist suggestions, and agent search — without additional configuration.</w:t>
      </w:r>
    </w:p>
    <w:p>
      <w:pPr>
        <w:pStyle w:val="ListBullet"/>
        <w:spacing w:after="40"/>
        <w:ind w:left="360"/>
      </w:pPr>
      <w:r>
        <w:rPr>
          <w:rFonts w:ascii="Calibri" w:hAnsi="Calibri"/>
          <w:sz w:val="22"/>
        </w:rPr>
        <w:t>Each knowledge article is an AI training asset — the more quality articles, the better Virtual Agent and Now Assist perform</w:t>
      </w:r>
    </w:p>
    <w:p>
      <w:pPr>
        <w:pStyle w:val="ListBullet"/>
        <w:spacing w:after="40"/>
        <w:ind w:left="360"/>
      </w:pPr>
      <w:r>
        <w:rPr>
          <w:rFonts w:ascii="Calibri" w:hAnsi="Calibri"/>
          <w:sz w:val="22"/>
        </w:rPr>
        <w:t>Agents with searchable knowledge resolve incidents faster and with higher first-contact resolution rates</w:t>
      </w:r>
    </w:p>
    <w:p>
      <w:pPr>
        <w:pStyle w:val="ListBullet"/>
        <w:spacing w:after="40"/>
        <w:ind w:left="360"/>
      </w:pPr>
      <w:r>
        <w:rPr>
          <w:rFonts w:ascii="Calibri" w:hAnsi="Calibri"/>
          <w:sz w:val="22"/>
        </w:rPr>
        <w:t>End users with self-service knowledge reduce contact volume — the clearest path to deflection metrics</w:t>
      </w:r>
    </w:p>
    <w:p>
      <w:pPr>
        <w:pStyle w:val="Heading1"/>
      </w:pPr>
      <w:r>
        <w:t>3.  What ServiceNow Delivers Out of the Box</w:t>
      </w:r>
    </w:p>
    <w:p>
      <w:pPr>
        <w:spacing w:after="160" w:before="0"/>
      </w:pPr>
      <w:r>
        <w:rPr>
          <w:rFonts w:ascii="Calibri" w:hAnsi="Calibri"/>
          <w:color w:val="1A1A1A"/>
          <w:sz w:val="22"/>
        </w:rPr>
        <w:t>ServiceNow's OOTB Knowledge Management is ready to use immediately. The following capabilities form the foundation your workshop will configure.</w:t>
      </w:r>
    </w:p>
    <w:tbl>
      <w:tblPr>
        <w:tblW w:type="auto" w:w="0"/>
        <w:jc w:val="left"/>
        <w:tblLook w:firstColumn="1" w:firstRow="1" w:lastColumn="0" w:lastRow="0" w:noHBand="0" w:noVBand="1" w:val="04A0"/>
      </w:tblPr>
      <w:tblGrid>
        <w:gridCol w:w="4680"/>
        <w:gridCol w:w="4680"/>
      </w:tblGrid>
      <w:tr>
        <w:trPr>
          <w:tblHeader/>
        </w:trPr>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829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 for Your Team</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Multi-knowledge-base support</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Separate knowledge bases for different audiences (IT, HR, Facilities) with independent access controls and ownership</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Article templates by type</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templates for How-To, FAQ, Known Error, and Reference articles — enforces structure and quality</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Lifecycle workflow (Draft → Review → Published)</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Configurable review and approval workflow for article publishing — prevents low-quality content from reaching users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Full-text search with AI ranking</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Keyword and semantic search with ML-based relevance ranking — improves article findability without tagging effort</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Virtual Agent integration</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Knowledge articles are automatically searched by Virtual Agent topics — no separate integration required</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Now Assist for Knowledge</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AI-generated article drafts from incident resolution notes — accelerates article creation for high-volume issues</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Article feedback and effectiveness metrics</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User ratings, view counts, and search-to-click metrics to identify articles needing improvement</w:t>
            </w:r>
          </w:p>
        </w:tc>
      </w:tr>
    </w:tbl>
    <w:p>
      <w:pPr>
        <w:spacing w:after="40"/>
      </w:pPr>
    </w:p>
    <w:p>
      <w:r>
        <w:br w:type="page"/>
      </w:r>
    </w:p>
    <w:p>
      <w:pPr>
        <w:pStyle w:val="Heading1"/>
      </w:pPr>
      <w:r>
        <w:t>4.  The Key Decisions You Will Make in Our Workshop</w:t>
      </w:r>
    </w:p>
    <w:p>
      <w:pPr>
        <w:spacing w:after="160" w:before="0"/>
      </w:pPr>
      <w:r>
        <w:rPr>
          <w:rFonts w:ascii="Calibri" w:hAnsi="Calibri"/>
          <w:color w:val="1A1A1A"/>
          <w:sz w:val="22"/>
        </w:rPr>
        <w:t>These are the decisions that will define your Knowledge Management process. They have implications for your content team, your Virtual Agent design, and your AI roadmap.</w:t>
      </w:r>
    </w:p>
    <w:p>
      <w:pPr>
        <w:pStyle w:val="Heading2"/>
      </w:pPr>
      <w:r>
        <w:t>Decision 1: Knowledge Base Structure</w:t>
      </w:r>
    </w:p>
    <w:p>
      <w:pPr>
        <w:spacing w:after="160" w:before="0"/>
      </w:pPr>
      <w:r>
        <w:rPr>
          <w:rFonts w:ascii="Calibri" w:hAnsi="Calibri"/>
          <w:color w:val="1A1A1A"/>
          <w:sz w:val="22"/>
        </w:rPr>
        <w:t>How many knowledge bases will you start with, and who owns each one? The OOTB recommendation is to start with one primary IT knowledge base and expand only when you have clear audience separation needs (e.g., a separate HR knowledge base with different access controls).</w:t>
      </w:r>
    </w:p>
    <w:p>
      <w:pPr>
        <w:spacing w:after="160" w:before="0"/>
      </w:pPr>
      <w:r>
        <w:rPr>
          <w:rFonts w:ascii="Calibri" w:hAnsi="Calibri"/>
          <w:i/>
          <w:color w:val="1A1A1A"/>
          <w:sz w:val="22"/>
        </w:rPr>
        <w:t>Trade-off to consider: Fewer knowledge bases are simpler to maintain and search across; more knowledge bases allow finer audience control but increase content fragmentation.</w:t>
      </w:r>
    </w:p>
    <w:p>
      <w:pPr>
        <w:pStyle w:val="Heading2"/>
      </w:pPr>
      <w:r>
        <w:t>Decision 2: Article Quality Standards</w:t>
      </w:r>
    </w:p>
    <w:p>
      <w:pPr>
        <w:spacing w:after="160" w:before="0"/>
      </w:pPr>
      <w:r>
        <w:rPr>
          <w:rFonts w:ascii="Calibri" w:hAnsi="Calibri"/>
          <w:color w:val="1A1A1A"/>
          <w:sz w:val="22"/>
        </w:rPr>
        <w:t>What are the minimum requirements for a publishable article — template compliance, review sign-off, minimum word count? Establishing standards before go-live prevents the common pattern where a knowledge base grows large but low-quality, becoming a search problem rather than a search solution.</w:t>
      </w:r>
    </w:p>
    <w:p>
      <w:pPr>
        <w:pStyle w:val="Heading2"/>
      </w:pPr>
      <w:r>
        <w:t>Decision 3: Retirement and Review Schedule</w:t>
      </w:r>
    </w:p>
    <w:p>
      <w:pPr>
        <w:spacing w:after="160" w:before="0"/>
      </w:pPr>
      <w:r>
        <w:rPr>
          <w:rFonts w:ascii="Calibri" w:hAnsi="Calibri"/>
          <w:color w:val="1A1A1A"/>
          <w:sz w:val="22"/>
        </w:rPr>
        <w:t>How often will articles be reviewed for accuracy, and what triggers automatic retirement? ServiceNow supports scheduled review reminders and automatic expiration. Without this, knowledge bases accumulate stale content that degrades search quality and user trust.</w:t>
      </w:r>
    </w:p>
    <w:p>
      <w:pPr>
        <w:spacing w:after="160" w:before="0"/>
      </w:pPr>
      <w:r>
        <w:rPr>
          <w:rFonts w:ascii="Calibri" w:hAnsi="Calibri"/>
          <w:i/>
          <w:color w:val="1A1A1A"/>
          <w:sz w:val="22"/>
        </w:rPr>
        <w:t>Trade-off to consider: Scheduled review cycles maintain quality but require content owner commitment; no review schedule means faster growth but gradual degradation.</w:t>
      </w:r>
    </w:p>
    <w:p>
      <w:pPr>
        <w:pStyle w:val="Heading2"/>
      </w:pPr>
      <w:r>
        <w:t>Decision 4: Initial Article Migration</w:t>
      </w:r>
    </w:p>
    <w:p>
      <w:pPr>
        <w:spacing w:after="160" w:before="0"/>
      </w:pPr>
      <w:r>
        <w:rPr>
          <w:rFonts w:ascii="Calibri" w:hAnsi="Calibri"/>
          <w:color w:val="1A1A1A"/>
          <w:sz w:val="22"/>
        </w:rPr>
        <w:t>Will you migrate existing knowledge content from your current tools, start fresh, or do a selective import of only high-quality content? The recommendation is selective migration — bring only articles that are current, accurate, and structured — rather than bulk import that transfers existing quality problems.</w:t>
      </w:r>
    </w:p>
    <w:p>
      <w:pPr>
        <w:pStyle w:val="Heading1"/>
      </w:pPr>
      <w:r>
        <w:t>5.  Things to Think About Before We Meet</w:t>
      </w:r>
    </w:p>
    <w:p>
      <w:pPr>
        <w:spacing w:after="160" w:before="0"/>
      </w:pPr>
      <w:r>
        <w:rPr>
          <w:rFonts w:ascii="Calibri" w:hAnsi="Calibri"/>
          <w:color w:val="1A1A1A"/>
          <w:sz w:val="22"/>
        </w:rPr>
        <w:t>These questions will help you come prepared to make knowledge structure decisions in the workshop.</w:t>
      </w:r>
    </w:p>
    <w:p>
      <w:pPr>
        <w:pStyle w:val="ListBullet"/>
        <w:spacing w:after="40"/>
        <w:ind w:left="360"/>
      </w:pPr>
      <w:r>
        <w:rPr>
          <w:rFonts w:ascii="Calibri" w:hAnsi="Calibri"/>
          <w:sz w:val="22"/>
        </w:rPr>
        <w:t>Where does your team's institutional knowledge currently live — SharePoint, a wiki, email, individual experts?</w:t>
      </w:r>
    </w:p>
    <w:p>
      <w:pPr>
        <w:pStyle w:val="ListBullet"/>
        <w:spacing w:after="40"/>
        <w:ind w:left="360"/>
      </w:pPr>
      <w:r>
        <w:rPr>
          <w:rFonts w:ascii="Calibri" w:hAnsi="Calibri"/>
          <w:sz w:val="22"/>
        </w:rPr>
        <w:t>Do you have existing knowledge articles in your current ITSM tool? Are they current and accurate?</w:t>
      </w:r>
    </w:p>
    <w:p>
      <w:pPr>
        <w:pStyle w:val="ListBullet"/>
        <w:spacing w:after="40"/>
        <w:ind w:left="360"/>
      </w:pPr>
      <w:r>
        <w:rPr>
          <w:rFonts w:ascii="Calibri" w:hAnsi="Calibri"/>
          <w:sz w:val="22"/>
        </w:rPr>
        <w:t>Who would own the knowledge authoring and review process? Do they have capacity for this role?</w:t>
      </w:r>
    </w:p>
    <w:p>
      <w:pPr>
        <w:pStyle w:val="ListBullet"/>
        <w:spacing w:after="40"/>
        <w:ind w:left="360"/>
      </w:pPr>
      <w:r>
        <w:rPr>
          <w:rFonts w:ascii="Calibri" w:hAnsi="Calibri"/>
          <w:sz w:val="22"/>
        </w:rPr>
        <w:t>What are the top 10 questions your service desk answers repeatedly?</w:t>
      </w:r>
    </w:p>
    <w:p>
      <w:pPr>
        <w:pStyle w:val="ListBullet"/>
        <w:spacing w:after="40"/>
        <w:ind w:left="360"/>
      </w:pPr>
      <w:r>
        <w:rPr>
          <w:rFonts w:ascii="Calibri" w:hAnsi="Calibri"/>
          <w:sz w:val="22"/>
        </w:rPr>
        <w:t>Are there topics you would want Virtual Agent to handle that would require knowledge articles to support them?</w:t>
      </w:r>
    </w:p>
    <w:p>
      <w:pPr>
        <w:spacing w:after="160" w:before="0"/>
      </w:pPr>
      <w:r>
        <w:rPr>
          <w:rFonts w:ascii="Calibri" w:hAnsi="Calibri"/>
          <w:color w:val="1A1A1A"/>
          <w:sz w:val="22"/>
        </w:rPr>
        <w:t>You do not need answers to all of these before the workshop. They are prompts for reflection, not prerequisites. Bring what you have. The workshop is where we work through the rest together.</w:t>
      </w:r>
    </w:p>
    <w:p>
      <w:pPr>
        <w:pStyle w:val="Heading2"/>
      </w:pPr>
      <w:r>
        <w:t>What to Bring to the Workshop</w:t>
      </w:r>
    </w:p>
    <w:p>
      <w:pPr>
        <w:pStyle w:val="ListBullet"/>
        <w:spacing w:after="40"/>
        <w:ind w:left="360"/>
      </w:pPr>
      <w:r>
        <w:rPr>
          <w:rFonts w:ascii="Calibri" w:hAnsi="Calibri"/>
          <w:sz w:val="22"/>
        </w:rPr>
        <w:t>Export or list of existing knowledge articles (with last-updated dates if available)</w:t>
      </w:r>
    </w:p>
    <w:p>
      <w:pPr>
        <w:pStyle w:val="ListBullet"/>
        <w:spacing w:after="40"/>
        <w:ind w:left="360"/>
      </w:pPr>
      <w:r>
        <w:rPr>
          <w:rFonts w:ascii="Calibri" w:hAnsi="Calibri"/>
          <w:sz w:val="22"/>
        </w:rPr>
        <w:t>Top 10–20 'frequently asked questions' from your service desk</w:t>
      </w:r>
    </w:p>
    <w:p>
      <w:pPr>
        <w:pStyle w:val="ListBullet"/>
        <w:spacing w:after="40"/>
        <w:ind w:left="360"/>
      </w:pPr>
      <w:r>
        <w:rPr>
          <w:rFonts w:ascii="Calibri" w:hAnsi="Calibri"/>
          <w:sz w:val="22"/>
        </w:rPr>
        <w:t>Current knowledge ownership structure (who writes, who approves)</w:t>
      </w:r>
    </w:p>
    <w:p>
      <w:pPr>
        <w:pStyle w:val="ListBullet"/>
        <w:spacing w:after="40"/>
        <w:ind w:left="360"/>
      </w:pPr>
      <w:r>
        <w:rPr>
          <w:rFonts w:ascii="Calibri" w:hAnsi="Calibri"/>
          <w:sz w:val="22"/>
        </w:rPr>
        <w:t>Links to any existing SharePoint, wiki, or FAQ pages you consider high-quality</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Your ECS team will follow up with a short agenda before the Knowledge Management workshop. If you have questions after reading this document, reach out to your ECS engagement manager — we are happy to walk through any section in advance.</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Workshop Pre-Read  ·  Knowledge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