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ACCELERATOR PACK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Predictive Intelligence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Accelerator Pack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OOTB PI -- Category Classification, Similar Incident, Assignment Intelligence, KPIs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Consultants (Internal) + Customer IT Manager / Service Desk Lead (selected tabs)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AP-17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pPr>
        <w:pStyle w:val="Heading1"/>
      </w:pPr>
      <w:r>
        <w:t>1.  Pack Overview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AP-17 guides the ECS team through activating and configuring the three OOTB Predictive Intelligence models during Month 2-3 (Sprint 4-5) of the 18-week engagement. The pack covers PI scope and readiness, Category Classification, Similar Incident, Assignment Intelligence, and KPI measurement. All work is OOTB -- no custom ML models, no Python scripts, no external APIs. PI trains on historical incident data and improves automatically through weekly retraining cycles.</w:t>
      </w:r>
    </w:p>
    <w:p>
      <w:pPr>
        <w:pStyle w:val="Heading1"/>
      </w:pPr>
      <w:r>
        <w:t>2.  Workbook Inventory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Workbook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Sprint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WB1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PI Scope &amp; Readiness Decisions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+ Customer IT Manager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WB2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Category Classification Configuration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Architect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WB3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Similar Incident &amp; Problem Intelligence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Architect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WB4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Assignment Intelligence Configuration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Architect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4-5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WB5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PI KPIs &amp; Continuous Improvement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+ Customer PI Admin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</w:t>
            </w:r>
          </w:p>
        </w:tc>
      </w:tr>
    </w:tbl>
    <w:p>
      <w:pPr>
        <w:spacing w:after="40"/>
      </w:pPr>
    </w:p>
    <w:p>
      <w:pPr>
        <w:pStyle w:val="Heading1"/>
      </w:pPr>
      <w:r>
        <w:t>3.  Key OOTB Decisions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Models: All three OOTB models activated (Category, Similar Incident, Assignment Group). Data requirement: 1,000+ closed incidents minimum; 5,000+ recommended. Suggestion mode: Agent-reviewed at go-live; auto-apply only after 80% accuracy for 30 days. Confidence threshold: 0.70 for all models (suppress below). Category freeze: taxonomy must be stable before training begins. KPI targets: 70% category accuracy, 40% similar incident acceptance, 65% first-assignment at go-live.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/>
    <w:r>
      <w:tab/>
    </w:r>
    <w:r>
      <w:rPr>
        <w:rFonts w:ascii="Calibri" w:hAnsi="Calibri"/>
        <w:color w:val="475569"/>
        <w:spacing w:val="30"/>
        <w:sz w:val="18"/>
      </w:rPr>
      <w:t>Predictive Intelligence Accelerator Pack · ECS Federal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