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for Drop_04_Employee_Experience_and_Analytics.zip</w:t>
      </w:r>
    </w:p>
    <w:p>
      <w:pPr>
        <w:spacing w:after="160" w:before="0"/>
      </w:pPr>
      <w:r>
        <w:rPr>
          <w:rFonts w:ascii="Calibri" w:hAnsi="Calibri"/>
          <w:b/>
          <w:color w:val="1A1A1A"/>
          <w:sz w:val="22"/>
        </w:rPr>
        <w:t>Subject: Employee experience materials — Employee Center, Virtual Agent, and analytics</w:t>
      </w:r>
    </w:p>
    <w:p>
      <w:pPr>
        <w:spacing w:after="160" w:before="0"/>
      </w:pPr>
      <w:r>
        <w:rPr>
          <w:rFonts w:ascii="Calibri" w:hAnsi="Calibri"/>
          <w:color w:val="1A1A1A"/>
          <w:sz w:val="22"/>
        </w:rPr>
        <w:t>Hello Neveena,</w:t>
      </w:r>
    </w:p>
    <w:p>
      <w:pPr>
        <w:spacing w:after="160" w:before="0"/>
      </w:pPr>
      <w:r>
        <w:rPr>
          <w:rFonts w:ascii="Calibri" w:hAnsi="Calibri"/>
          <w:color w:val="1A1A1A"/>
          <w:sz w:val="22"/>
        </w:rPr>
        <w:t>Here is the package for the employee-experience and analytics stage, Weeks 11–14 — the part of the project your end users will actually see and feel. It covers Employee Center, Virtual Agent and AI Search, Knowledge Management, Predictive Intelligence, Performance Analytics, and the HAM foundations, each with a pre-read and a decision pack (decks follow each session, as usual).</w:t>
      </w:r>
    </w:p>
    <w:p>
      <w:pPr>
        <w:spacing w:after="160" w:before="0"/>
      </w:pPr>
      <w:r>
        <w:rPr>
          <w:rFonts w:ascii="Calibri" w:hAnsi="Calibri"/>
          <w:color w:val="1A1A1A"/>
          <w:sz w:val="22"/>
        </w:rPr>
        <w:t>This stage rewards a slightly wider audience: alongside your process owners, consider including the people who own internal communications and the employee experience — the Employee Center and Virtual Agent decisions land better with their voice in the room. The pre-reads are an optional, friendly refresher on what's being decided and why it matters for the experience goals — useful for anyone joining these sessions for the first time, but never required reading.</w:t>
      </w:r>
    </w:p>
    <w:p>
      <w:pPr>
        <w:spacing w:after="160" w:before="0"/>
      </w:pPr>
      <w:r>
        <w:rPr>
          <w:rFonts w:ascii="Calibri" w:hAnsi="Calibri"/>
          <w:color w:val="1A1A1A"/>
          <w:sz w:val="22"/>
        </w:rPr>
        <w:t>Who needs what on your side:</w:t>
      </w:r>
    </w:p>
    <w:p>
      <w:pPr>
        <w:pStyle w:val="ListBullet"/>
        <w:spacing w:after="40"/>
        <w:ind w:left="360"/>
      </w:pPr>
      <w:r>
        <w:rPr>
          <w:rFonts w:ascii="Calibri" w:hAnsi="Calibri"/>
          <w:sz w:val="22"/>
        </w:rPr>
        <w:t>Session attendees: their pre-reads — and for Employee Center and Virtual Agent, consider adding your internal communications and employee-experience voices.</w:t>
      </w:r>
    </w:p>
    <w:p>
      <w:pPr>
        <w:pStyle w:val="ListBullet"/>
        <w:spacing w:after="40"/>
        <w:ind w:left="360"/>
      </w:pPr>
      <w:r>
        <w:rPr>
          <w:rFonts w:ascii="Calibri" w:hAnsi="Calibri"/>
          <w:sz w:val="22"/>
        </w:rPr>
        <w:t>Service desk and knowledge owners: the Knowledge and analytics materials.</w:t>
      </w:r>
    </w:p>
    <w:p>
      <w:pPr>
        <w:pStyle w:val="ListBullet"/>
        <w:spacing w:after="40"/>
        <w:ind w:left="360"/>
      </w:pPr>
      <w:r>
        <w:rPr>
          <w:rFonts w:ascii="Calibri" w:hAnsi="Calibri"/>
          <w:sz w:val="22"/>
        </w:rPr>
        <w:t>For you: attendee confirmations, and start thinking about UAT tester names — Package 5 will need them.</w:t>
      </w:r>
    </w:p>
    <w:p>
      <w:pPr>
        <w:spacing w:after="160" w:before="0"/>
      </w:pPr>
      <w:r>
        <w:rPr>
          <w:rFonts w:ascii="Calibri" w:hAnsi="Calibri"/>
          <w:color w:val="1A1A1A"/>
          <w:sz w:val="22"/>
        </w:rPr>
        <w:t>As always, questions are welcome at any point — especially the “is it too late to ask about…” kind. It almost never is, and asking now is precisely how we keep it that way.</w:t>
      </w:r>
    </w:p>
    <w:p>
      <w:pPr>
        <w:spacing w:after="160" w:before="0"/>
      </w:pPr>
      <w:r>
        <w:rPr>
          <w:rFonts w:ascii="Calibri" w:hAnsi="Calibri"/>
          <w:color w:val="1A1A1A"/>
          <w:sz w:val="22"/>
        </w:rPr>
        <w:t>As a next step, let's hold a 30-minute review meeting to walk through the package, confirm attendees for each session, and set expectations for what go-live will look like for your employees. Let me know what works for your schedule, I can be flexible.</w:t>
      </w:r>
    </w:p>
    <w:p>
      <w:pPr>
        <w:spacing w:after="160" w:before="0"/>
      </w:pPr>
      <w:r>
        <w:rPr>
          <w:rFonts w:ascii="Calibri" w:hAnsi="Calibri"/>
          <w:color w:val="1A1A1A"/>
          <w:sz w:val="22"/>
        </w:rPr>
        <w:t>Best regards,</w:t>
        <w:br/>
        <w:t>-Tim</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Attach or link: Drop_04_Employee_Experience_and_Analytics.zip · After sending: book the review meeting within one week and log the release date in Staged_Rollout_Guide.xlsx.</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Drop 4 — Employee Experience &amp; Analytics Cover Email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