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STAGED ROLLOUT</w:t>
      </w:r>
    </w:p>
    <w:p>
      <w:pPr>
        <w:spacing w:before="0" w:after="40"/>
      </w:pPr>
      <w:r>
        <w:rPr>
          <w:rFonts w:ascii="Calibri" w:hAnsi="Calibri"/>
          <w:b/>
          <w:color w:val="0B1F3A"/>
          <w:sz w:val="56"/>
        </w:rPr>
        <w:t>Document Drop</w:t>
      </w:r>
    </w:p>
    <w:p>
      <w:pPr>
        <w:spacing w:before="0" w:after="40"/>
      </w:pPr>
      <w:r>
        <w:rPr>
          <w:rFonts w:ascii="Calibri" w:hAnsi="Calibri"/>
          <w:b/>
          <w:color w:val="0B1F3A"/>
          <w:sz w:val="56"/>
        </w:rPr>
        <w:t>Email Templates</w:t>
      </w:r>
    </w:p>
    <w:p>
      <w:pPr>
        <w:spacing w:before="120" w:after="400"/>
      </w:pPr>
      <w:r>
        <w:rPr>
          <w:rFonts w:ascii="Calibri" w:hAnsi="Calibri"/>
          <w:i/>
          <w:color w:val="0D9488"/>
          <w:sz w:val="24"/>
        </w:rPr>
        <w:t>Ready-to-personalize cover emails for each staged document release to Connection</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Engagement Manager</w:t>
      </w:r>
    </w:p>
    <w:p>
      <w:pPr>
        <w:spacing w:after="40"/>
      </w:pPr>
      <w:r>
        <w:rPr>
          <w:rFonts w:ascii="Calibri" w:hAnsi="Calibri"/>
          <w:b w:val="0"/>
          <w:i w:val="0"/>
          <w:color w:val="475569"/>
          <w:sz w:val="20"/>
        </w:rPr>
        <w:t>Companion to: Staged_Rollout_Guide.xlsx · Connection Communication Plan</w:t>
      </w:r>
    </w:p>
    <w:p>
      <w:pPr>
        <w:spacing w:after="80"/>
      </w:pPr>
      <w:r>
        <w:rPr>
          <w:rFonts w:ascii="Calibri" w:hAnsi="Calibri"/>
          <w:b w:val="0"/>
          <w:i w:val="0"/>
          <w:color w:val="475569"/>
          <w:sz w:val="20"/>
        </w:rPr>
        <w:t>Document ID: INT-CONN-ROLL-01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These Templates</w:t>
      </w:r>
    </w:p>
    <w:p>
      <w:pPr>
        <w:spacing w:after="160" w:before="0"/>
      </w:pPr>
      <w:r>
        <w:rPr>
          <w:rFonts w:ascii="Calibri" w:hAnsi="Calibri"/>
          <w:color w:val="1A1A1A"/>
          <w:sz w:val="22"/>
        </w:rPr>
        <w:t>One email per drop, in release order. Every package goes to Neveena, Connection's Project Manager and our primary document recipient — each email includes a distribution section telling her exactly who on her side gets what and how they'll use it, so internal routing is her call but never her guesswork. Trim anything that doesn't fit the moment. Three rules hold across every email: questions are always explicitly welcomed (no question is too small, and asking early is framed as helping the project); scheduling stays flexible — offer to work around their calendar rather than proposing a fixed date; and the next step is always a short review meeting to walk through the documents together and set expectations — we never drop documents and walk away.</w:t>
      </w:r>
    </w:p>
    <w:p>
      <w:pPr>
        <w:spacing w:after="160" w:before="0"/>
      </w:pPr>
      <w:r>
        <w:rPr>
          <w:rFonts w:ascii="Calibri" w:hAnsi="Calibri"/>
          <w:color w:val="1A1A1A"/>
          <w:sz w:val="22"/>
        </w:rPr>
        <w:t>Each drop's email also exists as a standalone file in Client_Drops/, named to match its zip (e.g., Drop_01_Initial_Package.zip pairs with Drop_01_Initial_Package_EMAIL.docx) — attach the zip, send the matching email text.</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review meeting is the point. The documents support the conversation — the conversation is where alignment actually happens.</w:t>
      </w:r>
    </w:p>
    <w:p>
      <w:pPr>
        <w:pStyle w:val="Heading1"/>
      </w:pPr>
      <w:r>
        <w:t>1.  Drop 1 — Initial Package</w:t>
      </w:r>
    </w:p>
    <w:p>
      <w:pPr>
        <w:spacing w:after="160" w:before="0"/>
      </w:pPr>
      <w:r>
        <w:rPr>
          <w:rFonts w:ascii="Calibri" w:hAnsi="Calibri"/>
          <w:b/>
          <w:color w:val="1A1A1A"/>
          <w:sz w:val="22"/>
        </w:rPr>
        <w:t>Subject: Your Connection engagement package — how the project will run</w:t>
      </w:r>
    </w:p>
    <w:p>
      <w:pPr>
        <w:spacing w:after="160" w:before="0"/>
      </w:pPr>
      <w:r>
        <w:rPr>
          <w:rFonts w:ascii="Calibri" w:hAnsi="Calibri"/>
          <w:color w:val="1A1A1A"/>
          <w:sz w:val="22"/>
        </w:rPr>
        <w:t>Hello Neveena,</w:t>
      </w:r>
    </w:p>
    <w:p>
      <w:pPr>
        <w:spacing w:after="160" w:before="0"/>
      </w:pPr>
      <w:r>
        <w:rPr>
          <w:rFonts w:ascii="Calibri" w:hAnsi="Calibri"/>
          <w:color w:val="1A1A1A"/>
          <w:sz w:val="22"/>
        </w:rPr>
        <w:t>Ahead of our kickoff, I'm sharing the initial document package for the engagement. These nine documents are your orientation to how the project will run — nothing here requires action yet, and you don't need to read everything at once.</w:t>
      </w:r>
    </w:p>
    <w:p>
      <w:pPr>
        <w:spacing w:after="160" w:before="0"/>
      </w:pPr>
      <w:r>
        <w:rPr>
          <w:rFonts w:ascii="Calibri" w:hAnsi="Calibri"/>
          <w:color w:val="1A1A1A"/>
          <w:sz w:val="22"/>
        </w:rPr>
        <w:t>If you read just two things, make them the Client Onboarding Guide (what to expect across the 18 weeks, in plain terms) and the Communication Plan (every touchpoint you'll receive from us — what, when, and from whom). Alongside those you'll find the Governance Charter, the kickoff presentation, the Sprint 0 checklist, the 18-week project plan, the dependency tracker showing what Connection owns, and the deliverables checklist — every commitment in the SOW and where it stands (your running scoreboard for the whole engagement). The Document Roadmap ties it all together: it shows every package you'll receive across the 18 weeks and when — documents arrive just-in-time by design, so your team is never buried.</w:t>
      </w:r>
    </w:p>
    <w:p>
      <w:pPr>
        <w:spacing w:after="160" w:before="0"/>
      </w:pPr>
      <w:r>
        <w:rPr>
          <w:rFonts w:ascii="Calibri" w:hAnsi="Calibri"/>
          <w:color w:val="1A1A1A"/>
          <w:sz w:val="22"/>
        </w:rPr>
        <w:t>A quick word on distribution — this first package is mostly governing documents, so no action is needed from your team until we work through them together:</w:t>
      </w:r>
    </w:p>
    <w:p>
      <w:pPr>
        <w:pStyle w:val="ListBullet"/>
        <w:spacing w:after="40"/>
        <w:ind w:left="360"/>
      </w:pPr>
      <w:r>
        <w:rPr>
          <w:rFonts w:ascii="Calibri" w:hAnsi="Calibri"/>
          <w:sz w:val="22"/>
        </w:rPr>
        <w:t>For you: the Communication Plan, Sprint 0 checklist, project plan, and dependency tracker are your working set — we'll complete the contact roster and confirm dates together at the review meeting, then finalize these as our operating baseline.</w:t>
      </w:r>
    </w:p>
    <w:p>
      <w:pPr>
        <w:pStyle w:val="ListBullet"/>
        <w:spacing w:after="40"/>
        <w:ind w:left="360"/>
      </w:pPr>
      <w:r>
        <w:rPr>
          <w:rFonts w:ascii="Calibri" w:hAnsi="Calibri"/>
          <w:sz w:val="22"/>
        </w:rPr>
        <w:t>For your Executive Sponsor and leadership: the Client Onboarding Guide and the Document Roadmap are the two worth forwarding now — a ten-minute orientation to how the project runs and what arrives when.</w:t>
      </w:r>
    </w:p>
    <w:p>
      <w:pPr>
        <w:pStyle w:val="ListBullet"/>
        <w:spacing w:after="40"/>
        <w:ind w:left="360"/>
      </w:pPr>
      <w:r>
        <w:rPr>
          <w:rFonts w:ascii="Calibri" w:hAnsi="Calibri"/>
          <w:sz w:val="22"/>
        </w:rPr>
        <w:t>For process owners and SMEs: nothing needed yet. Their material starts arriving with Package 2, and each future email will tell you exactly who needs what.</w:t>
      </w:r>
    </w:p>
    <w:p>
      <w:pPr>
        <w:spacing w:after="160" w:before="0"/>
      </w:pPr>
      <w:r>
        <w:rPr>
          <w:rFonts w:ascii="Calibri" w:hAnsi="Calibri"/>
          <w:color w:val="1A1A1A"/>
          <w:sz w:val="22"/>
        </w:rPr>
        <w:t>You will likely have questions — that's exactly what we want. No question is too small, and the early ones tend to be the most valuable. Jot them down as you skim, or just bring yourself — either works.</w:t>
      </w:r>
    </w:p>
    <w:p>
      <w:pPr>
        <w:spacing w:after="160" w:before="0"/>
      </w:pPr>
      <w:r>
        <w:rPr>
          <w:rFonts w:ascii="Calibri" w:hAnsi="Calibri"/>
          <w:color w:val="1A1A1A"/>
          <w:sz w:val="22"/>
        </w:rPr>
        <w:t>I am finalizing team assignments and as a next step, I'd like to schedule a 45-minute review meeting to walk through the package together, answer whatever comes up, and set expectations for how we'll use each of these documents. Let me know what works for your schedule, I can be flexible.</w:t>
      </w:r>
    </w:p>
    <w:p>
      <w:pPr>
        <w:spacing w:after="160" w:before="0"/>
      </w:pPr>
      <w:r>
        <w:rPr>
          <w:rFonts w:ascii="Calibri" w:hAnsi="Calibri"/>
          <w:color w:val="1A1A1A"/>
          <w:sz w:val="22"/>
        </w:rPr>
        <w:t>Looking forward to getting started together.</w:t>
      </w:r>
    </w:p>
    <w:p>
      <w:pPr>
        <w:spacing w:after="160" w:before="0"/>
      </w:pPr>
      <w:r>
        <w:rPr>
          <w:rFonts w:ascii="Calibri" w:hAnsi="Calibri"/>
          <w:color w:val="1A1A1A"/>
          <w:sz w:val="22"/>
        </w:rPr>
        <w:t>Best regards,</w:t>
        <w:br/>
        <w:t>-Tim</w:t>
      </w:r>
    </w:p>
    <w:p>
      <w:pPr>
        <w:pStyle w:val="Heading1"/>
      </w:pPr>
      <w:r>
        <w:t>2.  Drop 2 — Foundation &amp; Data</w:t>
      </w:r>
    </w:p>
    <w:p>
      <w:pPr>
        <w:spacing w:after="160" w:before="0"/>
      </w:pPr>
      <w:r>
        <w:rPr>
          <w:rFonts w:ascii="Calibri" w:hAnsi="Calibri"/>
          <w:b/>
          <w:color w:val="1A1A1A"/>
          <w:sz w:val="22"/>
        </w:rPr>
        <w:t>Subject: Stage 1 materials — foundation workshops and data collection</w:t>
      </w:r>
    </w:p>
    <w:p>
      <w:pPr>
        <w:spacing w:after="160" w:before="0"/>
      </w:pPr>
      <w:r>
        <w:rPr>
          <w:rFonts w:ascii="Calibri" w:hAnsi="Calibri"/>
          <w:color w:val="1A1A1A"/>
          <w:sz w:val="22"/>
        </w:rPr>
        <w:t>Hello Neveena,</w:t>
      </w:r>
    </w:p>
    <w:p>
      <w:pPr>
        <w:spacing w:after="160" w:before="0"/>
      </w:pPr>
      <w:r>
        <w:rPr>
          <w:rFonts w:ascii="Calibri" w:hAnsi="Calibri"/>
          <w:color w:val="1A1A1A"/>
          <w:sz w:val="22"/>
        </w:rPr>
        <w:t>With Sprint 0 wrapping up, here is the material for Stage 1 — the platform foundation and data-model work in Weeks 3–6. This package has two kinds of content: short pre-reads for each upcoming workshop, and the data-collection packs (users, locations, groups, service taxonomy, discovery scope, and integration details). Each workshop's full deck follows right after its session, as the standing reference.</w:t>
      </w:r>
    </w:p>
    <w:p>
      <w:pPr>
        <w:spacing w:after="160" w:before="0"/>
      </w:pPr>
      <w:r>
        <w:rPr>
          <w:rFonts w:ascii="Calibri" w:hAnsi="Calibri"/>
          <w:color w:val="1A1A1A"/>
          <w:sz w:val="22"/>
        </w:rPr>
        <w:t>A word on the pre-reads: each one is a short refresher on what the process is and why we're modernizing it — nobody is expected to study them, and there's no homework here. If someone has ten minutes before their session, it's a helpful way to see the out-of-the-box goals we'll be working toward together; if not, we cover everything in the workshop. The data packs are where we'd love Connection to start early: the sooner real data is in the system, the sooner the demos you see are your demos.</w:t>
      </w:r>
    </w:p>
    <w:p>
      <w:pPr>
        <w:spacing w:after="160" w:before="0"/>
      </w:pPr>
      <w:r>
        <w:rPr>
          <w:rFonts w:ascii="Calibri" w:hAnsi="Calibri"/>
          <w:color w:val="1A1A1A"/>
          <w:sz w:val="22"/>
        </w:rPr>
        <w:t>Who needs what on your side:</w:t>
      </w:r>
    </w:p>
    <w:p>
      <w:pPr>
        <w:pStyle w:val="ListBullet"/>
        <w:spacing w:after="40"/>
        <w:ind w:left="360"/>
      </w:pPr>
      <w:r>
        <w:rPr>
          <w:rFonts w:ascii="Calibri" w:hAnsi="Calibri"/>
          <w:sz w:val="22"/>
        </w:rPr>
        <w:t>Workshop attendees (IT leads, data and platform owners): forward each pre-read to the people attending that session — optional ten-minute refresher, nothing more.</w:t>
      </w:r>
    </w:p>
    <w:p>
      <w:pPr>
        <w:pStyle w:val="ListBullet"/>
        <w:spacing w:after="40"/>
        <w:ind w:left="360"/>
      </w:pPr>
      <w:r>
        <w:rPr>
          <w:rFonts w:ascii="Calibri" w:hAnsi="Calibri"/>
          <w:sz w:val="22"/>
        </w:rPr>
        <w:t>Data owners and your Technical Lead: the accelerator workbooks (users, locations, groups, service taxonomy, discovery scope, integrations) — the one set that benefits from an early start; we'll agree due dates at the review.</w:t>
      </w:r>
    </w:p>
    <w:p>
      <w:pPr>
        <w:pStyle w:val="ListBullet"/>
        <w:spacing w:after="40"/>
        <w:ind w:left="360"/>
      </w:pPr>
      <w:r>
        <w:rPr>
          <w:rFonts w:ascii="Calibri" w:hAnsi="Calibri"/>
          <w:sz w:val="22"/>
        </w:rPr>
        <w:t>For you and your Sponsor: the RACI matrix — confirm the ownership mapping matches your org before the workshops begin.</w:t>
      </w:r>
    </w:p>
    <w:p>
      <w:pPr>
        <w:spacing w:after="160" w:before="0"/>
      </w:pPr>
      <w:r>
        <w:rPr>
          <w:rFonts w:ascii="Calibri" w:hAnsi="Calibri"/>
          <w:color w:val="1A1A1A"/>
          <w:sz w:val="22"/>
        </w:rPr>
        <w:t>None of this needs to be figured out alone. If a spreadsheet asks a question your team isn't sure how to answer, that's normal — flag it and we'll work through it together in the workshop or a quick call.</w:t>
      </w:r>
    </w:p>
    <w:p>
      <w:pPr>
        <w:spacing w:after="160" w:before="0"/>
      </w:pPr>
      <w:r>
        <w:rPr>
          <w:rFonts w:ascii="Calibri" w:hAnsi="Calibri"/>
          <w:color w:val="1A1A1A"/>
          <w:sz w:val="22"/>
        </w:rPr>
        <w:t>As a next step, let's get a 30-minute review meeting on the calendar to walk through this package, agree which workshops need which people, and set expectations on the data-pack timing. Let me know what works for your schedule, I can be flexible.</w:t>
      </w:r>
    </w:p>
    <w:p>
      <w:pPr>
        <w:spacing w:after="160" w:before="0"/>
      </w:pPr>
      <w:r>
        <w:rPr>
          <w:rFonts w:ascii="Calibri" w:hAnsi="Calibri"/>
          <w:color w:val="1A1A1A"/>
          <w:sz w:val="22"/>
        </w:rPr>
        <w:t>Best regards,</w:t>
        <w:br/>
        <w:t>-Tim</w:t>
      </w:r>
    </w:p>
    <w:p>
      <w:pPr>
        <w:pStyle w:val="Heading1"/>
      </w:pPr>
      <w:r>
        <w:t>3.  Drop 3 — ITSM Core</w:t>
      </w:r>
    </w:p>
    <w:p>
      <w:pPr>
        <w:spacing w:after="160" w:before="0"/>
      </w:pPr>
      <w:r>
        <w:rPr>
          <w:rFonts w:ascii="Calibri" w:hAnsi="Calibri"/>
          <w:b/>
          <w:color w:val="1A1A1A"/>
          <w:sz w:val="22"/>
        </w:rPr>
        <w:t>Subject: ITSM workshop materials — Incident, Problem, Change, and Catalog</w:t>
      </w:r>
    </w:p>
    <w:p>
      <w:pPr>
        <w:spacing w:after="160" w:before="0"/>
      </w:pPr>
      <w:r>
        <w:rPr>
          <w:rFonts w:ascii="Calibri" w:hAnsi="Calibri"/>
          <w:color w:val="1A1A1A"/>
          <w:sz w:val="22"/>
        </w:rPr>
        <w:t>Hello Neveena,</w:t>
      </w:r>
    </w:p>
    <w:p>
      <w:pPr>
        <w:spacing w:after="160" w:before="0"/>
      </w:pPr>
      <w:r>
        <w:rPr>
          <w:rFonts w:ascii="Calibri" w:hAnsi="Calibri"/>
          <w:color w:val="1A1A1A"/>
          <w:sz w:val="22"/>
        </w:rPr>
        <w:t>The foundation work is in motion, so here is the package for the ITSM Core build — the heart of the engagement, covering Weeks 7–10. It contains pre-reads for Incident, Major Incident, Problem, Change (including the modernized CAB process), and Service Catalog, plus the process-decision packs where your process owners record how Connection wants each process to work. As always, each workshop's full deck arrives right after its session.</w:t>
      </w:r>
    </w:p>
    <w:p>
      <w:pPr>
        <w:spacing w:after="160" w:before="0"/>
      </w:pPr>
      <w:r>
        <w:rPr>
          <w:rFonts w:ascii="Calibri" w:hAnsi="Calibri"/>
          <w:color w:val="1A1A1A"/>
          <w:sz w:val="22"/>
        </w:rPr>
        <w:t>These workshops are where your team shapes the platform most directly, so the right people in the room matters more than in any other stage. The pre-reads are there as a no-pressure refresher — what each process is, why we're modernizing it, and the out-of-the-box goals the session works toward. Reading them isn't required, but a ten-minute skim helps each process owner see the decisions coming their way. If any of those raise internal debate before the workshop, that's a good sign, not a problem — bring the debate with you and we'll resolve it together with the baseline as the starting point.</w:t>
      </w:r>
    </w:p>
    <w:p>
      <w:pPr>
        <w:spacing w:after="160" w:before="0"/>
      </w:pPr>
      <w:r>
        <w:rPr>
          <w:rFonts w:ascii="Calibri" w:hAnsi="Calibri"/>
          <w:color w:val="1A1A1A"/>
          <w:sz w:val="22"/>
        </w:rPr>
        <w:t>Who needs what on your side:</w:t>
      </w:r>
    </w:p>
    <w:p>
      <w:pPr>
        <w:pStyle w:val="ListBullet"/>
        <w:spacing w:after="40"/>
        <w:ind w:left="360"/>
      </w:pPr>
      <w:r>
        <w:rPr>
          <w:rFonts w:ascii="Calibri" w:hAnsi="Calibri"/>
          <w:sz w:val="22"/>
        </w:rPr>
        <w:t>Each process owner: their own pre-read (Incident, Major Incident, Problem, Change, Service Catalog) — an optional preview of the decisions their session covers.</w:t>
      </w:r>
    </w:p>
    <w:p>
      <w:pPr>
        <w:pStyle w:val="ListBullet"/>
        <w:spacing w:after="40"/>
        <w:ind w:left="360"/>
      </w:pPr>
      <w:r>
        <w:rPr>
          <w:rFonts w:ascii="Calibri" w:hAnsi="Calibri"/>
          <w:sz w:val="22"/>
        </w:rPr>
        <w:t>Process owners with you: the process-decision packs — no need to fill these ahead; we complete them together in the workshops.</w:t>
      </w:r>
    </w:p>
    <w:p>
      <w:pPr>
        <w:pStyle w:val="ListBullet"/>
        <w:spacing w:after="40"/>
        <w:ind w:left="360"/>
      </w:pPr>
      <w:r>
        <w:rPr>
          <w:rFonts w:ascii="Calibri" w:hAnsi="Calibri"/>
          <w:sz w:val="22"/>
        </w:rPr>
        <w:t>For you: the workshop calendar coordination — this stage needs the right people in the room more than any other.</w:t>
      </w:r>
    </w:p>
    <w:p>
      <w:pPr>
        <w:spacing w:after="160" w:before="0"/>
      </w:pPr>
      <w:r>
        <w:rPr>
          <w:rFonts w:ascii="Calibri" w:hAnsi="Calibri"/>
          <w:color w:val="1A1A1A"/>
          <w:sz w:val="22"/>
        </w:rPr>
        <w:t>Questions before then are always welcome, however small — a two-minute email now often saves a workshop hour later.</w:t>
      </w:r>
    </w:p>
    <w:p>
      <w:pPr>
        <w:spacing w:after="160" w:before="0"/>
      </w:pPr>
      <w:r>
        <w:rPr>
          <w:rFonts w:ascii="Calibri" w:hAnsi="Calibri"/>
          <w:color w:val="1A1A1A"/>
          <w:sz w:val="22"/>
        </w:rPr>
        <w:t>As a next step, I'd like a 30-minute review meeting to walk through the package, confirm the workshop schedule and attendees, and set expectations for the process decisions ahead. Let me know what works for your schedule, I can be flexible.</w:t>
      </w:r>
    </w:p>
    <w:p>
      <w:pPr>
        <w:spacing w:after="160" w:before="0"/>
      </w:pPr>
      <w:r>
        <w:rPr>
          <w:rFonts w:ascii="Calibri" w:hAnsi="Calibri"/>
          <w:color w:val="1A1A1A"/>
          <w:sz w:val="22"/>
        </w:rPr>
        <w:t>Best regards,</w:t>
        <w:br/>
        <w:t>-Tim</w:t>
      </w:r>
    </w:p>
    <w:p>
      <w:pPr>
        <w:pStyle w:val="Heading1"/>
      </w:pPr>
      <w:r>
        <w:t>4.  Drop 4 — Employee Experience &amp; Analytics</w:t>
      </w:r>
    </w:p>
    <w:p>
      <w:pPr>
        <w:spacing w:after="160" w:before="0"/>
      </w:pPr>
      <w:r>
        <w:rPr>
          <w:rFonts w:ascii="Calibri" w:hAnsi="Calibri"/>
          <w:b/>
          <w:color w:val="1A1A1A"/>
          <w:sz w:val="22"/>
        </w:rPr>
        <w:t>Subject: Employee experience materials — Employee Center, Virtual Agent, and analytics</w:t>
      </w:r>
    </w:p>
    <w:p>
      <w:pPr>
        <w:spacing w:after="160" w:before="0"/>
      </w:pPr>
      <w:r>
        <w:rPr>
          <w:rFonts w:ascii="Calibri" w:hAnsi="Calibri"/>
          <w:color w:val="1A1A1A"/>
          <w:sz w:val="22"/>
        </w:rPr>
        <w:t>Hello Neveena,</w:t>
      </w:r>
    </w:p>
    <w:p>
      <w:pPr>
        <w:spacing w:after="160" w:before="0"/>
      </w:pPr>
      <w:r>
        <w:rPr>
          <w:rFonts w:ascii="Calibri" w:hAnsi="Calibri"/>
          <w:color w:val="1A1A1A"/>
          <w:sz w:val="22"/>
        </w:rPr>
        <w:t>Here is the package for the employee-experience and analytics stage, Weeks 11–14 — the part of the project your end users will actually see and feel. It covers Employee Center, Virtual Agent and AI Search, Knowledge Management, Predictive Intelligence, Performance Analytics, and the HAM foundations, each with a pre-read and a decision pack (decks follow each session, as usual).</w:t>
      </w:r>
    </w:p>
    <w:p>
      <w:pPr>
        <w:spacing w:after="160" w:before="0"/>
      </w:pPr>
      <w:r>
        <w:rPr>
          <w:rFonts w:ascii="Calibri" w:hAnsi="Calibri"/>
          <w:color w:val="1A1A1A"/>
          <w:sz w:val="22"/>
        </w:rPr>
        <w:t>This stage rewards a slightly wider audience: alongside your process owners, consider including the people who own internal communications and the employee experience — the Employee Center and Virtual Agent decisions land better with their voice in the room. The pre-reads are an optional, friendly refresher on what's being decided and why it matters for the experience goals — useful for anyone joining these sessions for the first time, but never required reading.</w:t>
      </w:r>
    </w:p>
    <w:p>
      <w:pPr>
        <w:spacing w:after="160" w:before="0"/>
      </w:pPr>
      <w:r>
        <w:rPr>
          <w:rFonts w:ascii="Calibri" w:hAnsi="Calibri"/>
          <w:color w:val="1A1A1A"/>
          <w:sz w:val="22"/>
        </w:rPr>
        <w:t>Who needs what on your side:</w:t>
      </w:r>
    </w:p>
    <w:p>
      <w:pPr>
        <w:pStyle w:val="ListBullet"/>
        <w:spacing w:after="40"/>
        <w:ind w:left="360"/>
      </w:pPr>
      <w:r>
        <w:rPr>
          <w:rFonts w:ascii="Calibri" w:hAnsi="Calibri"/>
          <w:sz w:val="22"/>
        </w:rPr>
        <w:t>Session attendees: their pre-reads — and for Employee Center and Virtual Agent, consider adding your internal communications and employee-experience voices.</w:t>
      </w:r>
    </w:p>
    <w:p>
      <w:pPr>
        <w:pStyle w:val="ListBullet"/>
        <w:spacing w:after="40"/>
        <w:ind w:left="360"/>
      </w:pPr>
      <w:r>
        <w:rPr>
          <w:rFonts w:ascii="Calibri" w:hAnsi="Calibri"/>
          <w:sz w:val="22"/>
        </w:rPr>
        <w:t>Service desk and knowledge owners: the Knowledge and analytics materials.</w:t>
      </w:r>
    </w:p>
    <w:p>
      <w:pPr>
        <w:pStyle w:val="ListBullet"/>
        <w:spacing w:after="40"/>
        <w:ind w:left="360"/>
      </w:pPr>
      <w:r>
        <w:rPr>
          <w:rFonts w:ascii="Calibri" w:hAnsi="Calibri"/>
          <w:sz w:val="22"/>
        </w:rPr>
        <w:t>For you: attendee confirmations, and start thinking about UAT tester names — Package 5 will need them.</w:t>
      </w:r>
    </w:p>
    <w:p>
      <w:pPr>
        <w:spacing w:after="160" w:before="0"/>
      </w:pPr>
      <w:r>
        <w:rPr>
          <w:rFonts w:ascii="Calibri" w:hAnsi="Calibri"/>
          <w:color w:val="1A1A1A"/>
          <w:sz w:val="22"/>
        </w:rPr>
        <w:t>As always, questions are welcome at any point — especially the “is it too late to ask about…” kind. It almost never is, and asking now is precisely how we keep it that way.</w:t>
      </w:r>
    </w:p>
    <w:p>
      <w:pPr>
        <w:spacing w:after="160" w:before="0"/>
      </w:pPr>
      <w:r>
        <w:rPr>
          <w:rFonts w:ascii="Calibri" w:hAnsi="Calibri"/>
          <w:color w:val="1A1A1A"/>
          <w:sz w:val="22"/>
        </w:rPr>
        <w:t>As a next step, let's hold a 30-minute review meeting to walk through the package, confirm attendees for each session, and set expectations for what go-live will look like for your employees. Let me know what works for your schedule, I can be flexible.</w:t>
      </w:r>
    </w:p>
    <w:p>
      <w:pPr>
        <w:spacing w:after="160" w:before="0"/>
      </w:pPr>
      <w:r>
        <w:rPr>
          <w:rFonts w:ascii="Calibri" w:hAnsi="Calibri"/>
          <w:color w:val="1A1A1A"/>
          <w:sz w:val="22"/>
        </w:rPr>
        <w:t>Best regards,</w:t>
        <w:br/>
        <w:t>-Tim</w:t>
      </w:r>
    </w:p>
    <w:p>
      <w:pPr>
        <w:pStyle w:val="Heading1"/>
      </w:pPr>
      <w:r>
        <w:t>5.  Drop 5 — Testing, Go-Live &amp; Handoff</w:t>
      </w:r>
    </w:p>
    <w:p>
      <w:pPr>
        <w:spacing w:after="160" w:before="0"/>
      </w:pPr>
      <w:r>
        <w:rPr>
          <w:rFonts w:ascii="Calibri" w:hAnsi="Calibri"/>
          <w:b/>
          <w:color w:val="1A1A1A"/>
          <w:sz w:val="22"/>
        </w:rPr>
        <w:t>Subject: The home stretch — UAT, go-live readiness, and handoff materials</w:t>
      </w:r>
    </w:p>
    <w:p>
      <w:pPr>
        <w:spacing w:after="160" w:before="0"/>
      </w:pPr>
      <w:r>
        <w:rPr>
          <w:rFonts w:ascii="Calibri" w:hAnsi="Calibri"/>
          <w:color w:val="1A1A1A"/>
          <w:sz w:val="22"/>
        </w:rPr>
        <w:t>Hello Neveena,</w:t>
      </w:r>
    </w:p>
    <w:p>
      <w:pPr>
        <w:spacing w:after="160" w:before="0"/>
      </w:pPr>
      <w:r>
        <w:rPr>
          <w:rFonts w:ascii="Calibri" w:hAnsi="Calibri"/>
          <w:color w:val="1A1A1A"/>
          <w:sz w:val="22"/>
        </w:rPr>
        <w:t>We're entering the home stretch, and this final package covers everything from testing through ownership: the UAT Guidebook (written for first-time testers — genuinely, no prior experience needed), the end-to-end test scripts, the gated Go-Live Readiness Checklist we'll review together before cutover, the Cutover Runbook, and the knowledge-transfer set — the Administrator Guide, Train-the-Trainer Toolkit, and Operational Handoff Pack.</w:t>
      </w:r>
    </w:p>
    <w:p>
      <w:pPr>
        <w:spacing w:after="160" w:before="0"/>
      </w:pPr>
      <w:r>
        <w:rPr>
          <w:rFonts w:ascii="Calibri" w:hAnsi="Calibri"/>
          <w:color w:val="1A1A1A"/>
          <w:sz w:val="22"/>
        </w:rPr>
        <w:t>Two things worth saying plainly. First, UAT is where your testers' honest feedback matters most — finding issues now is the system working, not failing, and the guidebook shows exactly how to log what they see. Second, the go/no-go decision is a joint one: the readiness checklist makes the criteria explicit so there are no surprises in that conversation.</w:t>
      </w:r>
    </w:p>
    <w:p>
      <w:pPr>
        <w:spacing w:after="160" w:before="0"/>
      </w:pPr>
      <w:r>
        <w:rPr>
          <w:rFonts w:ascii="Calibri" w:hAnsi="Calibri"/>
          <w:color w:val="1A1A1A"/>
          <w:sz w:val="22"/>
        </w:rPr>
        <w:t>Who needs what on your side:</w:t>
      </w:r>
    </w:p>
    <w:p>
      <w:pPr>
        <w:pStyle w:val="ListBullet"/>
        <w:spacing w:after="40"/>
        <w:ind w:left="360"/>
      </w:pPr>
      <w:r>
        <w:rPr>
          <w:rFonts w:ascii="Calibri" w:hAnsi="Calibri"/>
          <w:sz w:val="22"/>
        </w:rPr>
        <w:t>Your UAT testers: the UAT Guidebook and end-to-end test scripts — written for first-timers, no prior experience needed.</w:t>
      </w:r>
    </w:p>
    <w:p>
      <w:pPr>
        <w:pStyle w:val="ListBullet"/>
        <w:spacing w:after="40"/>
        <w:ind w:left="360"/>
      </w:pPr>
      <w:r>
        <w:rPr>
          <w:rFonts w:ascii="Calibri" w:hAnsi="Calibri"/>
          <w:sz w:val="22"/>
        </w:rPr>
        <w:t>Your Technical Lead: the Cutover Runbook and Go-Live Readiness Checklist.</w:t>
      </w:r>
    </w:p>
    <w:p>
      <w:pPr>
        <w:pStyle w:val="ListBullet"/>
        <w:spacing w:after="40"/>
        <w:ind w:left="360"/>
      </w:pPr>
      <w:r>
        <w:rPr>
          <w:rFonts w:ascii="Calibri" w:hAnsi="Calibri"/>
          <w:sz w:val="22"/>
        </w:rPr>
        <w:t>Your platform admins and trainers: the Administrator Guide &amp; KT plan and the Train-the-Trainer Toolkit — KT sessions get scheduled at the review.</w:t>
      </w:r>
    </w:p>
    <w:p>
      <w:pPr>
        <w:pStyle w:val="ListBullet"/>
        <w:spacing w:after="40"/>
        <w:ind w:left="360"/>
      </w:pPr>
      <w:r>
        <w:rPr>
          <w:rFonts w:ascii="Calibri" w:hAnsi="Calibri"/>
          <w:sz w:val="22"/>
        </w:rPr>
        <w:t>Your Executive Sponsor: the readiness checklist ahead of the joint go/no-go.</w:t>
      </w:r>
    </w:p>
    <w:p>
      <w:pPr>
        <w:spacing w:after="160" w:before="0"/>
      </w:pPr>
      <w:r>
        <w:rPr>
          <w:rFonts w:ascii="Calibri" w:hAnsi="Calibri"/>
          <w:color w:val="1A1A1A"/>
          <w:sz w:val="22"/>
        </w:rPr>
        <w:t>Your testers and admins will have questions as they get hands-on — please funnel them straight to us, however small. During this stage especially, fast answers are our job.</w:t>
      </w:r>
    </w:p>
    <w:p>
      <w:pPr>
        <w:spacing w:after="160" w:before="0"/>
      </w:pPr>
      <w:r>
        <w:rPr>
          <w:rFonts w:ascii="Calibri" w:hAnsi="Calibri"/>
          <w:color w:val="1A1A1A"/>
          <w:sz w:val="22"/>
        </w:rPr>
        <w:t>As a next step, I'd like a 45-minute review meeting to walk through this package, set expectations for the UAT window and the go/no-go review, and confirm the knowledge-transfer schedule for your admin team. Let me know what works for your schedule, I can be flexible.</w:t>
      </w:r>
    </w:p>
    <w:p>
      <w:pPr>
        <w:spacing w:after="160" w:before="0"/>
      </w:pPr>
      <w:r>
        <w:rPr>
          <w:rFonts w:ascii="Calibri" w:hAnsi="Calibri"/>
          <w:color w:val="1A1A1A"/>
          <w:sz w:val="22"/>
        </w:rPr>
        <w:t>Best regards,</w:t>
        <w:br/>
        <w:t>-Tim</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Internal · Drop Email Templates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