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ROLE QUICK-REFERENCE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Role &amp; Accountability Quick-Reference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What you own, what you read, and when you are heaviest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- EM, Solution Architect, Process Consultant, Technical Consultant(s), Practice Lead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Team Onboarding &amp; Vision - Engagement Delivery Guidelines - ONBOARDING_MAP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INT-CONN-ROLE-01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Quick-Reference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Find your role, read your one section, and you know what you own, what to read before Sprint 0, what to pull just-in-time, and which sprints you are heaviest in. The decision-rights table below ends "who owns this?" debates before they start. Curate, don't copy - read your path, reference the rest.</w:t>
      </w:r>
    </w:p>
    <w:p>
      <w:pPr>
        <w:pStyle w:val="Heading1"/>
      </w:pPr>
      <w:r>
        <w:t>1.  Decision Rights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Owns the decision on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 (EM)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relationship, scope/budget, escalation; chairs the Customization Council; PCR authority.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 (SA)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&amp; CSDM; OOTB vs customization (Rule of Three pass/fail); technical sign-off; code/config review.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 / BA (PC) - also Scrum Master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facilitation; requirements-to-stories; sprint cadence and ceremonies; Definition of Ready / Done; velocity &amp; burndown; impediment removal.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Consultant(s) (TC)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Configuration, integration builds, data loads, story-level test.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 (PM)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Trust-but-verify oversight; the technical-path key in the two-key decision; escalation authority.</w:t>
            </w:r>
          </w:p>
        </w:tc>
      </w:tr>
    </w:tbl>
    <w:p>
      <w:pPr>
        <w:spacing w:after="40"/>
      </w:pPr>
    </w:p>
    <w:p>
      <w:pPr>
        <w:pStyle w:val="Heading1"/>
      </w:pPr>
      <w:r>
        <w:t>2.  Engagement Manager (EM)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own the customer relationship and the engagement's health. You chair the Customization Council and hold PCR authority.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OOTB Delivery Playbook (Sections 1 and 4), Internal Governance Operating Guide, SOW v2.0.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per-sprint facilitator guides; trust-but-verify metrics; lessons learned.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Sprint 0 (setup, decision rights, dependencies) and every governance checkpoint thereafter.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weekly health report to practice management by Friday COB; Yellow/Red triggers a Monday 1:1.</w:t>
      </w:r>
    </w:p>
    <w:p>
      <w:pPr>
        <w:pStyle w:val="Heading1"/>
      </w:pPr>
      <w:r>
        <w:t>3.  Solution Architect (SA)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own the architecture and the OOTB-first call. You write the impact assessment for every deviation before it reaches a decision.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OOTB Delivery Playbook (Sections 2 and 3), Adopt-vs-Reengineer cheatsheets, the in-scope Accelerator Pack blueprints.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discipline how-to guides; CMDB/CSDM and integration packs as each sprint requires.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Stage 1 (CSDM data model, greenfield) and the ITSM/Change design workshops in Stages 1-2.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every customization carries a completed impact assessment; nothing reaches the Council without one.</w:t>
      </w:r>
    </w:p>
    <w:p>
      <w:pPr>
        <w:pStyle w:val="Heading1"/>
      </w:pPr>
      <w:r>
        <w:t>4.  Process Consultant / BA (PC) - also Scrum Master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run the workshops where the OOTB discipline is won or lost, and you turn requirements into signed-off stories. You also wear the Scrum Master hat: you run the ceremonies and protect the sprint.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Decision Topic Guides and Workshop Pre-Reads for the in-scope processes; the Sprint Operating Kit.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per-sprint customer briefs; UAT test packs.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the workshop-dense build sprints (ITSM Core, Catalog, Employee Experience) across Stages 1-2.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As Scrum Master: run planning, standup, demo, and retro; enforce Definition of Ready / Done; own velocity and burndown; remove impediments and escalate the rest to the EM; shield the sprint from mid-sprint scope.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each workshop ends with a signed-off story, not a list of "things to think about" - and each sprint ends on its commitment or names why it did not.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Neutrality: you both write stories and serve as Scrum Master; when those pull apart under scope pressure, the EM and Practice Lead are the check.</w:t>
      </w:r>
    </w:p>
    <w:p>
      <w:pPr>
        <w:pStyle w:val="Heading1"/>
      </w:pPr>
      <w:r>
        <w:t>5.  Technical Consultant(s) (TC)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build. Configuration, integrations, and data - the standard way unless a deviation has cleared the two-key decision.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Sprint 0 setup materials and the Accelerator Packs for in-scope modules.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discipline how-to guides; demo scripts; sprint workbooks.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the build sprints in Stage 2 (ITSM Core, Change/CAB, Employee Center) and Stage 3 (HAM, analytics).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peer review complete and no P1 defects before a story is called done.</w:t>
      </w:r>
    </w:p>
    <w:p>
      <w:pPr>
        <w:pStyle w:val="Heading1"/>
      </w:pPr>
      <w:r>
        <w:t>6.  Practice Lead (PM)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provide independent oversight. You hold the technical-path key in the two-key decision and the escalation authority.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trust-but-verify metrics and thresholds; the two-key model and SLAs; escalation triggers.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weekly health reports; impact assessments awaiting the second key.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weekly at health-report review; on-demand whenever a deviation needs the technical-path key (48-hour SLA).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no customization is built on business need alone - the technical path is independently approved.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Roles are confirmed and named during Sprint 0 and recorded in ENGAGEMENT_BRIEF.md. Update the bracketed names there as the team is staffed.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Role Quick-Reference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